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Borders>
          <w:top w:val="single" w:sz="4" w:space="0" w:color="CCCCCC"/>
          <w:left w:val="single" w:sz="4" w:space="0" w:color="CCCCCC"/>
          <w:right w:val="single" w:sz="4" w:space="0" w:color="CCCCCC"/>
        </w:tblBorders>
        <w:tblCellMar>
          <w:left w:w="0" w:type="dxa"/>
          <w:right w:w="0" w:type="dxa"/>
        </w:tblCellMar>
        <w:tblLook w:val="04A0" w:firstRow="1" w:lastRow="0" w:firstColumn="1" w:lastColumn="0" w:noHBand="0" w:noVBand="1"/>
      </w:tblPr>
      <w:tblGrid>
        <w:gridCol w:w="11218"/>
      </w:tblGrid>
      <w:tr w:rsidR="00AE1D48" w:rsidRPr="00AE1D48" w:rsidTr="00AE1D48">
        <w:trPr>
          <w:tblCellSpacing w:w="0" w:type="dxa"/>
        </w:trPr>
        <w:tc>
          <w:tcPr>
            <w:tcW w:w="0" w:type="auto"/>
            <w:vAlign w:val="center"/>
            <w:hideMark/>
          </w:tcPr>
          <w:p w:rsidR="00AE1D48" w:rsidRPr="00AE1D48" w:rsidRDefault="00AE1D48" w:rsidP="00AE1D48">
            <w:pPr>
              <w:numPr>
                <w:ilvl w:val="0"/>
                <w:numId w:val="1"/>
              </w:numPr>
              <w:spacing w:after="0" w:line="240" w:lineRule="auto"/>
              <w:ind w:left="0"/>
              <w:rPr>
                <w:rFonts w:eastAsia="Times New Roman"/>
                <w:szCs w:val="24"/>
                <w:lang w:eastAsia="ru-RU"/>
              </w:rPr>
            </w:pPr>
            <w:bookmarkStart w:id="0" w:name="_GoBack"/>
            <w:bookmarkEnd w:id="0"/>
            <w:r w:rsidRPr="00AE1D48">
              <w:rPr>
                <w:rFonts w:eastAsia="Times New Roman"/>
                <w:szCs w:val="24"/>
                <w:lang w:eastAsia="ru-RU"/>
              </w:rPr>
              <w:br/>
            </w:r>
          </w:p>
          <w:p w:rsidR="00AE1D48" w:rsidRPr="00AE1D48" w:rsidRDefault="00AE1D48" w:rsidP="00AE1D48">
            <w:pPr>
              <w:numPr>
                <w:ilvl w:val="0"/>
                <w:numId w:val="1"/>
              </w:numPr>
              <w:spacing w:after="0" w:line="240" w:lineRule="auto"/>
              <w:ind w:left="0"/>
              <w:rPr>
                <w:rFonts w:eastAsia="Times New Roman"/>
                <w:szCs w:val="24"/>
                <w:lang w:eastAsia="ru-RU"/>
              </w:rPr>
            </w:pPr>
          </w:p>
          <w:p w:rsidR="00AE1D48" w:rsidRPr="00AE1D48" w:rsidRDefault="00AE1D48" w:rsidP="00AE1D48">
            <w:pPr>
              <w:numPr>
                <w:ilvl w:val="0"/>
                <w:numId w:val="1"/>
              </w:numPr>
              <w:spacing w:after="0" w:line="240" w:lineRule="auto"/>
              <w:ind w:left="0"/>
              <w:rPr>
                <w:rFonts w:eastAsia="Times New Roman"/>
                <w:szCs w:val="24"/>
                <w:lang w:eastAsia="ru-RU"/>
              </w:rPr>
            </w:pPr>
          </w:p>
        </w:tc>
      </w:tr>
    </w:tbl>
    <w:p w:rsidR="00AE1D48" w:rsidRPr="00AE1D48" w:rsidRDefault="00AE1D48" w:rsidP="00AE1D48">
      <w:pPr>
        <w:shd w:val="clear" w:color="auto" w:fill="FFFFFF"/>
        <w:spacing w:after="0" w:line="240" w:lineRule="atLeast"/>
        <w:jc w:val="center"/>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fldChar w:fldCharType="begin"/>
      </w:r>
      <w:r w:rsidRPr="00AE1D48">
        <w:rPr>
          <w:rFonts w:ascii="Arial" w:eastAsia="Times New Roman" w:hAnsi="Arial" w:cs="Arial"/>
          <w:color w:val="2A2928"/>
          <w:sz w:val="16"/>
          <w:szCs w:val="16"/>
          <w:lang w:eastAsia="ru-RU"/>
        </w:rPr>
        <w:instrText xml:space="preserve"> INCLUDEPICTURE "http://search.ligazakon.ua/l_flib1.nsf/LookupFiles/TSIGN.GIF/$file/TSIGN.GIF" \* MERGEFORMATINET </w:instrText>
      </w:r>
      <w:r w:rsidRPr="00AE1D48">
        <w:rPr>
          <w:rFonts w:ascii="Arial" w:eastAsia="Times New Roman" w:hAnsi="Arial" w:cs="Arial"/>
          <w:color w:val="2A2928"/>
          <w:sz w:val="16"/>
          <w:szCs w:val="16"/>
          <w:lang w:eastAsia="ru-RU"/>
        </w:rPr>
        <w:fldChar w:fldCharType="separate"/>
      </w:r>
      <w:r w:rsidRPr="00AE1D48">
        <w:rPr>
          <w:rFonts w:ascii="Arial" w:eastAsia="Times New Roman" w:hAnsi="Arial" w:cs="Arial"/>
          <w:color w:val="2A2928"/>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3.75pt;mso-wrap-distance-right:3.75pt"/>
        </w:pict>
      </w:r>
      <w:r w:rsidRPr="00AE1D48">
        <w:rPr>
          <w:rFonts w:ascii="Arial" w:eastAsia="Times New Roman" w:hAnsi="Arial" w:cs="Arial"/>
          <w:color w:val="2A2928"/>
          <w:sz w:val="16"/>
          <w:szCs w:val="16"/>
          <w:lang w:eastAsia="ru-RU"/>
        </w:rPr>
        <w:fldChar w:fldCharType="end"/>
      </w:r>
    </w:p>
    <w:p w:rsidR="00AE1D48" w:rsidRPr="00AE1D48" w:rsidRDefault="00AE1D48" w:rsidP="00AE1D48">
      <w:pPr>
        <w:shd w:val="clear" w:color="auto" w:fill="FFFFFF"/>
        <w:spacing w:after="0" w:line="340" w:lineRule="atLeast"/>
        <w:jc w:val="center"/>
        <w:outlineLvl w:val="1"/>
        <w:rPr>
          <w:rFonts w:ascii="Arial" w:eastAsia="Times New Roman" w:hAnsi="Arial" w:cs="Arial"/>
          <w:color w:val="2A2928"/>
          <w:sz w:val="26"/>
          <w:szCs w:val="26"/>
          <w:lang w:eastAsia="ru-RU"/>
        </w:rPr>
      </w:pPr>
      <w:r w:rsidRPr="00AE1D48">
        <w:rPr>
          <w:rFonts w:ascii="Arial" w:eastAsia="Times New Roman" w:hAnsi="Arial" w:cs="Arial"/>
          <w:color w:val="2A2928"/>
          <w:sz w:val="26"/>
          <w:szCs w:val="26"/>
          <w:lang w:eastAsia="ru-RU"/>
        </w:rPr>
        <w:t>МІНІСТЕРСТВО ОСВІТИ І НАУКИ УКРАЇНИ</w:t>
      </w:r>
    </w:p>
    <w:p w:rsidR="00AE1D48" w:rsidRPr="00AE1D48" w:rsidRDefault="00AE1D48" w:rsidP="00AE1D48">
      <w:pPr>
        <w:shd w:val="clear" w:color="auto" w:fill="FFFFFF"/>
        <w:spacing w:after="0" w:line="340" w:lineRule="atLeast"/>
        <w:jc w:val="center"/>
        <w:outlineLvl w:val="1"/>
        <w:rPr>
          <w:rFonts w:ascii="Arial" w:eastAsia="Times New Roman" w:hAnsi="Arial" w:cs="Arial"/>
          <w:color w:val="2A2928"/>
          <w:sz w:val="26"/>
          <w:szCs w:val="26"/>
          <w:lang w:eastAsia="ru-RU"/>
        </w:rPr>
      </w:pPr>
      <w:r w:rsidRPr="00AE1D48">
        <w:rPr>
          <w:rFonts w:ascii="Arial" w:eastAsia="Times New Roman" w:hAnsi="Arial" w:cs="Arial"/>
          <w:color w:val="2A2928"/>
          <w:sz w:val="26"/>
          <w:szCs w:val="26"/>
          <w:lang w:eastAsia="ru-RU"/>
        </w:rPr>
        <w:t>НАКАЗ</w:t>
      </w:r>
    </w:p>
    <w:tbl>
      <w:tblPr>
        <w:tblW w:w="5000" w:type="pct"/>
        <w:tblCellSpacing w:w="22" w:type="dxa"/>
        <w:tblCellMar>
          <w:top w:w="70" w:type="dxa"/>
          <w:left w:w="540" w:type="dxa"/>
          <w:bottom w:w="70" w:type="dxa"/>
          <w:right w:w="540" w:type="dxa"/>
        </w:tblCellMar>
        <w:tblLook w:val="04A0" w:firstRow="1" w:lastRow="0" w:firstColumn="1" w:lastColumn="0" w:noHBand="0" w:noVBand="1"/>
      </w:tblPr>
      <w:tblGrid>
        <w:gridCol w:w="3954"/>
        <w:gridCol w:w="3377"/>
        <w:gridCol w:w="3955"/>
      </w:tblGrid>
      <w:tr w:rsidR="00AE1D48" w:rsidRPr="00AE1D48" w:rsidTr="00AE1D48">
        <w:trPr>
          <w:tblCellSpacing w:w="22" w:type="dxa"/>
        </w:trPr>
        <w:tc>
          <w:tcPr>
            <w:tcW w:w="1750" w:type="pct"/>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30.10.2020</w:t>
            </w:r>
          </w:p>
        </w:tc>
        <w:tc>
          <w:tcPr>
            <w:tcW w:w="1500" w:type="pct"/>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м. Київ</w:t>
            </w:r>
          </w:p>
        </w:tc>
        <w:tc>
          <w:tcPr>
            <w:tcW w:w="1750" w:type="pct"/>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N 1342</w:t>
            </w:r>
          </w:p>
        </w:tc>
      </w:tr>
    </w:tbl>
    <w:p w:rsidR="00AE1D48" w:rsidRPr="00AE1D48" w:rsidRDefault="00AE1D48" w:rsidP="00AE1D48">
      <w:pPr>
        <w:shd w:val="clear" w:color="auto" w:fill="FFFFFF"/>
        <w:spacing w:after="0" w:line="240" w:lineRule="atLeast"/>
        <w:jc w:val="center"/>
        <w:rPr>
          <w:rFonts w:ascii="Arial" w:eastAsia="Times New Roman" w:hAnsi="Arial" w:cs="Arial"/>
          <w:color w:val="2A2928"/>
          <w:sz w:val="16"/>
          <w:szCs w:val="16"/>
          <w:lang w:eastAsia="ru-RU"/>
        </w:rPr>
      </w:pPr>
      <w:r w:rsidRPr="00AE1D48">
        <w:rPr>
          <w:rFonts w:ascii="Arial" w:eastAsia="Times New Roman" w:hAnsi="Arial" w:cs="Arial"/>
          <w:b/>
          <w:bCs/>
          <w:color w:val="2A2928"/>
          <w:sz w:val="16"/>
          <w:szCs w:val="16"/>
          <w:lang w:eastAsia="ru-RU"/>
        </w:rPr>
        <w:t>Зареєстровано в Міністерстві юстиції України</w:t>
      </w:r>
      <w:r w:rsidRPr="00AE1D48">
        <w:rPr>
          <w:rFonts w:ascii="Arial" w:eastAsia="Times New Roman" w:hAnsi="Arial" w:cs="Arial"/>
          <w:b/>
          <w:bCs/>
          <w:color w:val="2A2928"/>
          <w:sz w:val="16"/>
          <w:szCs w:val="16"/>
          <w:lang w:eastAsia="ru-RU"/>
        </w:rPr>
        <w:br/>
        <w:t>11 грудня 2020 р. за N 1235/35518</w:t>
      </w:r>
    </w:p>
    <w:p w:rsidR="00AE1D48" w:rsidRPr="00AE1D48" w:rsidRDefault="00AE1D48" w:rsidP="00AE1D48">
      <w:pPr>
        <w:shd w:val="clear" w:color="auto" w:fill="FFFFFF"/>
        <w:spacing w:after="0" w:line="340" w:lineRule="atLeast"/>
        <w:jc w:val="center"/>
        <w:outlineLvl w:val="1"/>
        <w:rPr>
          <w:rFonts w:ascii="Arial" w:eastAsia="Times New Roman" w:hAnsi="Arial" w:cs="Arial"/>
          <w:color w:val="2A2928"/>
          <w:sz w:val="26"/>
          <w:szCs w:val="26"/>
          <w:lang w:eastAsia="ru-RU"/>
        </w:rPr>
      </w:pPr>
      <w:r w:rsidRPr="00AE1D48">
        <w:rPr>
          <w:rFonts w:ascii="Arial" w:eastAsia="Times New Roman" w:hAnsi="Arial" w:cs="Arial"/>
          <w:color w:val="2A2928"/>
          <w:sz w:val="26"/>
          <w:szCs w:val="26"/>
          <w:lang w:eastAsia="ru-RU"/>
        </w:rPr>
        <w:t>Про затвердження Умов прийому на навчання до закладів фахової передвищої освіти в 2021 році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Відповідно до</w:t>
      </w:r>
      <w:r w:rsidRPr="00AE1D48">
        <w:rPr>
          <w:rFonts w:ascii="Arial" w:eastAsia="Times New Roman" w:hAnsi="Arial" w:cs="Arial"/>
          <w:color w:val="2A2928"/>
          <w:sz w:val="16"/>
          <w:lang w:eastAsia="ru-RU"/>
        </w:rPr>
        <w:t> </w:t>
      </w:r>
      <w:hyperlink r:id="rId5" w:tgtFrame="_top" w:history="1">
        <w:r w:rsidRPr="00AE1D48">
          <w:rPr>
            <w:rFonts w:ascii="Arial" w:eastAsia="Times New Roman" w:hAnsi="Arial" w:cs="Arial"/>
            <w:color w:val="0000FF"/>
            <w:sz w:val="16"/>
            <w:u w:val="single"/>
            <w:lang w:eastAsia="ru-RU"/>
          </w:rPr>
          <w:t>статей 13</w:t>
        </w:r>
      </w:hyperlink>
      <w:r w:rsidRPr="00AE1D48">
        <w:rPr>
          <w:rFonts w:ascii="Arial" w:eastAsia="Times New Roman" w:hAnsi="Arial" w:cs="Arial"/>
          <w:color w:val="2A2928"/>
          <w:sz w:val="16"/>
          <w:szCs w:val="16"/>
          <w:lang w:eastAsia="ru-RU"/>
        </w:rPr>
        <w:t>,</w:t>
      </w:r>
      <w:r w:rsidRPr="00AE1D48">
        <w:rPr>
          <w:rFonts w:ascii="Arial" w:eastAsia="Times New Roman" w:hAnsi="Arial" w:cs="Arial"/>
          <w:color w:val="2A2928"/>
          <w:sz w:val="16"/>
          <w:lang w:eastAsia="ru-RU"/>
        </w:rPr>
        <w:t> </w:t>
      </w:r>
      <w:hyperlink r:id="rId6" w:tgtFrame="_top" w:history="1">
        <w:r w:rsidRPr="00AE1D48">
          <w:rPr>
            <w:rFonts w:ascii="Arial" w:eastAsia="Times New Roman" w:hAnsi="Arial" w:cs="Arial"/>
            <w:color w:val="0000FF"/>
            <w:sz w:val="16"/>
            <w:u w:val="single"/>
            <w:lang w:eastAsia="ru-RU"/>
          </w:rPr>
          <w:t>43 Закону України "Про фахову передвищу освіту"</w:t>
        </w:r>
      </w:hyperlink>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b/>
          <w:bCs/>
          <w:color w:val="2A2928"/>
          <w:sz w:val="16"/>
          <w:szCs w:val="16"/>
          <w:lang w:eastAsia="ru-RU"/>
        </w:rPr>
        <w:t>НАКАЗУЮ: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Затвердити Умови прийому на навчання до закладів фахової передвищої освіти в 2021 році, що додаються.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Департаментам та управлінням освіти і науки обласних та Київської міської державних адміністрацій забезпечити своєчасне усунення розбіжностей даних вступників у поданих на виготовлення документів про повну загальну середню освіту замовленнях та даних, зазначених ними під час реєстрації на проходження зовнішнього незалежного оцінювання.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Керівникам закладів освіти незалежно від форми власності і сфери управління під час затвердження правил прийому на навчання для здобуття фахової передвищої освіти забезпечити дотримання вимог Умов прийому на навчання до закладів фахової передвищої освіти в 2021 році, затверджених цим наказом.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Директорату вищої освіти і освіти дорослих (Шаров О.) забезпечити державну реєстрацію цього наказу в Міністерстві юстиції України.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Контроль за виконанням цього наказу залишаю за собою.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Цей наказ набирає чинності з дня його офіційного опублікування.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 </w:t>
      </w:r>
    </w:p>
    <w:tbl>
      <w:tblPr>
        <w:tblW w:w="5000" w:type="pct"/>
        <w:tblCellSpacing w:w="22" w:type="dxa"/>
        <w:tblCellMar>
          <w:top w:w="70" w:type="dxa"/>
          <w:left w:w="540" w:type="dxa"/>
          <w:bottom w:w="70" w:type="dxa"/>
          <w:right w:w="540" w:type="dxa"/>
        </w:tblCellMar>
        <w:tblLook w:val="04A0" w:firstRow="1" w:lastRow="0" w:firstColumn="1" w:lastColumn="0" w:noHBand="0" w:noVBand="1"/>
      </w:tblPr>
      <w:tblGrid>
        <w:gridCol w:w="5643"/>
        <w:gridCol w:w="5643"/>
      </w:tblGrid>
      <w:tr w:rsidR="00AE1D48" w:rsidRPr="00AE1D48" w:rsidTr="00AE1D48">
        <w:trPr>
          <w:tblCellSpacing w:w="22" w:type="dxa"/>
        </w:trPr>
        <w:tc>
          <w:tcPr>
            <w:tcW w:w="2500" w:type="pct"/>
            <w:tcMar>
              <w:top w:w="0" w:type="dxa"/>
              <w:left w:w="0" w:type="dxa"/>
              <w:bottom w:w="0" w:type="dxa"/>
              <w:right w:w="0" w:type="dxa"/>
            </w:tcMar>
            <w:vAlign w:val="bottom"/>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Т. в. о. Міністра</w:t>
            </w:r>
          </w:p>
        </w:tc>
        <w:tc>
          <w:tcPr>
            <w:tcW w:w="2500" w:type="pct"/>
            <w:tcMar>
              <w:top w:w="0" w:type="dxa"/>
              <w:left w:w="0" w:type="dxa"/>
              <w:bottom w:w="0" w:type="dxa"/>
              <w:right w:w="0" w:type="dxa"/>
            </w:tcMar>
            <w:vAlign w:val="bottom"/>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С. Шкарлет</w:t>
            </w:r>
          </w:p>
        </w:tc>
      </w:tr>
      <w:tr w:rsidR="00AE1D48" w:rsidRPr="00AE1D48" w:rsidTr="00AE1D48">
        <w:trPr>
          <w:tblCellSpacing w:w="22" w:type="dxa"/>
        </w:trPr>
        <w:tc>
          <w:tcPr>
            <w:tcW w:w="2500" w:type="pct"/>
            <w:tcMar>
              <w:top w:w="0" w:type="dxa"/>
              <w:left w:w="0" w:type="dxa"/>
              <w:bottom w:w="0" w:type="dxa"/>
              <w:right w:w="0" w:type="dxa"/>
            </w:tcMar>
            <w:vAlign w:val="bottom"/>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ПОГОДЖЕНО:</w:t>
            </w:r>
          </w:p>
        </w:tc>
        <w:tc>
          <w:tcPr>
            <w:tcW w:w="2500" w:type="pct"/>
            <w:tcMar>
              <w:top w:w="0" w:type="dxa"/>
              <w:left w:w="0" w:type="dxa"/>
              <w:bottom w:w="0" w:type="dxa"/>
              <w:right w:w="0" w:type="dxa"/>
            </w:tcMar>
            <w:vAlign w:val="bottom"/>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 </w:t>
            </w:r>
          </w:p>
        </w:tc>
      </w:tr>
      <w:tr w:rsidR="00AE1D48" w:rsidRPr="00AE1D48" w:rsidTr="00AE1D48">
        <w:trPr>
          <w:tblCellSpacing w:w="22" w:type="dxa"/>
        </w:trPr>
        <w:tc>
          <w:tcPr>
            <w:tcW w:w="2500" w:type="pct"/>
            <w:tcMar>
              <w:top w:w="0" w:type="dxa"/>
              <w:left w:w="0" w:type="dxa"/>
              <w:bottom w:w="0" w:type="dxa"/>
              <w:right w:w="0" w:type="dxa"/>
            </w:tcMar>
            <w:vAlign w:val="bottom"/>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В. о. Голови Державної</w:t>
            </w:r>
            <w:r w:rsidRPr="00AE1D48">
              <w:rPr>
                <w:rFonts w:eastAsia="Times New Roman"/>
                <w:b/>
                <w:bCs/>
                <w:sz w:val="16"/>
                <w:szCs w:val="16"/>
                <w:lang w:eastAsia="ru-RU"/>
              </w:rPr>
              <w:br/>
              <w:t>регуляторної служби України</w:t>
            </w:r>
          </w:p>
        </w:tc>
        <w:tc>
          <w:tcPr>
            <w:tcW w:w="2500" w:type="pct"/>
            <w:tcMar>
              <w:top w:w="0" w:type="dxa"/>
              <w:left w:w="0" w:type="dxa"/>
              <w:bottom w:w="0" w:type="dxa"/>
              <w:right w:w="0" w:type="dxa"/>
            </w:tcMar>
            <w:vAlign w:val="bottom"/>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В. Загородній</w:t>
            </w:r>
          </w:p>
        </w:tc>
      </w:tr>
    </w:tbl>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 </w:t>
      </w:r>
    </w:p>
    <w:p w:rsidR="00AE1D48" w:rsidRPr="00AE1D48" w:rsidRDefault="00AE1D48" w:rsidP="00AE1D48">
      <w:pPr>
        <w:shd w:val="clear" w:color="auto" w:fill="FFFFFF"/>
        <w:spacing w:after="0" w:line="240" w:lineRule="atLeast"/>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ЗАТВЕРДЖЕНО</w:t>
      </w:r>
      <w:r w:rsidRPr="00AE1D48">
        <w:rPr>
          <w:rFonts w:ascii="Arial" w:eastAsia="Times New Roman" w:hAnsi="Arial" w:cs="Arial"/>
          <w:color w:val="2A2928"/>
          <w:sz w:val="16"/>
          <w:szCs w:val="16"/>
          <w:lang w:eastAsia="ru-RU"/>
        </w:rPr>
        <w:br/>
        <w:t>Наказ Міністерства освіти і науки України</w:t>
      </w:r>
      <w:r w:rsidRPr="00AE1D48">
        <w:rPr>
          <w:rFonts w:ascii="Arial" w:eastAsia="Times New Roman" w:hAnsi="Arial" w:cs="Arial"/>
          <w:color w:val="2A2928"/>
          <w:sz w:val="16"/>
          <w:szCs w:val="16"/>
          <w:lang w:eastAsia="ru-RU"/>
        </w:rPr>
        <w:br/>
        <w:t>30 жовтня 2020 року N 1342</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УМОВИ</w:t>
      </w:r>
      <w:r w:rsidRPr="00AE1D48">
        <w:rPr>
          <w:rFonts w:ascii="Arial" w:eastAsia="Times New Roman" w:hAnsi="Arial" w:cs="Arial"/>
          <w:color w:val="2A2928"/>
          <w:sz w:val="21"/>
          <w:szCs w:val="21"/>
          <w:lang w:eastAsia="ru-RU"/>
        </w:rPr>
        <w:br/>
        <w:t>прийому на навчання до закладів фахової передвищої освіти в 2021 році</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I. Загальні положення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Цими Умовами керуються суб'єкти освітньої діяльності, які здійснюють прийом на навчання для здобуття фахової передвищої освіти незалежно від форм власності та сфери управління (далі - заклад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Підставою для оголошення прийому на навчання для здобуття освітньо-професійного ступеня фахового молодшого бакалавра є ліцензія Міністерства освіти і науки України на здійснення освітньої діяльності з фахової передвищої освіти та правила прийому, які затверджено педагогічною (вченою) радою закладу освіти (далі - Правила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Прийом на навчання для здобуття фахової передвищої освіти здійснюється закладами освіти на конкурсній основі за відповідними джерелами фінансування.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Організацію прийому вступників для здобуття фахової передвищої освіти здійснює приймальна комісія, склад якої затверджується наказом керівника закладу освіти або керівника закладу вищої освіти, до структури якого входить заклад фахової передвищої освіти. Головою приймальної комісії призначається керівник закладу фахової передвищої освіти. Приймальна комісія діє згідно з положенням про приймальну комісію закладу освіти, затвердженим керівником закладу, з урахуванням вимог Положення про приймальну комісію вищого навчального закладу, затвердженого</w:t>
      </w:r>
      <w:r w:rsidRPr="00AE1D48">
        <w:rPr>
          <w:rFonts w:ascii="Arial" w:eastAsia="Times New Roman" w:hAnsi="Arial" w:cs="Arial"/>
          <w:color w:val="2A2928"/>
          <w:sz w:val="16"/>
          <w:lang w:eastAsia="ru-RU"/>
        </w:rPr>
        <w:t> </w:t>
      </w:r>
      <w:hyperlink r:id="rId7" w:tgtFrame="_top" w:history="1">
        <w:r w:rsidRPr="00AE1D48">
          <w:rPr>
            <w:rFonts w:ascii="Arial" w:eastAsia="Times New Roman" w:hAnsi="Arial" w:cs="Arial"/>
            <w:color w:val="0000FF"/>
            <w:sz w:val="16"/>
            <w:u w:val="single"/>
            <w:lang w:eastAsia="ru-RU"/>
          </w:rPr>
          <w:t>наказом Міністерства освіти і науки України від 15 жовтня 2015 року N 1085</w:t>
        </w:r>
      </w:hyperlink>
      <w:r w:rsidRPr="00AE1D48">
        <w:rPr>
          <w:rFonts w:ascii="Arial" w:eastAsia="Times New Roman" w:hAnsi="Arial" w:cs="Arial"/>
          <w:color w:val="2A2928"/>
          <w:sz w:val="16"/>
          <w:szCs w:val="16"/>
          <w:lang w:eastAsia="ru-RU"/>
        </w:rPr>
        <w:t>, зареєстрованого в Міністерстві юстиції України 04 листопада 2015 року за N 1353/27798. Положення про приймальну комісію закладу освіти оприлюднюється на його офіційному вебсайті (вебсторінці).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Керівник закладу освіти забезпечує дотримання законодавства України, у тому числі цих Умов, Правил прийому, а також відкритість та прозорість роботи приймальної комісії.</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Рішення приймальної комісії, прийняте в межах її повноважень, є підставою для видання відповідного наказу керівником закладу освіти або закладу вищої освіти, до структури якого входить заклад фахової передвищої освіти, та/або виконання процедур вступної кампанії.</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Усі питання, пов'язані з прийомом на навчання для здобуття фахової передвищої освіти, вирішуються приймальною комісією на її засіданнях. Рішення приймальної комісії оприлюднюються на офіційному вебсайті (вебсторінці) закладу освіти не пізніше наступного дня після прийняття відповідного рішення.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У цих Умовах терміни вжито в таких значеннях:</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вступне випробування - оцінювання підготовленості вступника до здобуття освітньо-професійного ступеня фахового молодшого бакалавра, що проводиться у формі зовнішнього незалежного оцінювання, вступного іспиту, співбесіди з конкурсного предмета (предметів), конкурсу творчих та/або фізичних здібностей вступників (далі - творчого конкурсу), фахового випробування тощо;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lastRenderedPageBreak/>
        <w:t>вступний іспит - форма вступного випробування, яка передбачає оцінювання знань, умінь та навичок вступника з конкурсного предмета, результати якого зараховуються до конкурсного бала вступника, або за результатами якого вступник допускається до участі в конкурсному відборі чи до інших вступних випробувань;</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вступник - особа, яка подала заяву(и) про допуск до участі в конкурсному відборі на одну (декілька) конкурсних пропозицій;</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квота для іноземців - визначена частина обсягу бюджетних місць, яка використовується для прийому вступників з числа: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іноземців, які прибувають на навчання відповідно до міжнародних договорів України;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закордонних українців, статус яких засвідчено посвідченням закордонного українця, і які не проживають постійно в Україні;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квота-1 - визначена частина загального обсягу бюджетних місць, яка може бути використана для прийому вступників, що мають право на вступ на основі вступних іспитів, крім осіб, які мають право на квоту-2;</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квота-2 - визначена частина загального обсягу бюджетних місць в закладах освіти, розташованих у містах, в яких працюють освітні центри "Донбас-Україна" та "Крим-Україна" на базі закладів вищої та фахової передвищої освіти, яка може бути використана для прийому вступників, що мають право на вступ на основі вступних іспитів відповідно до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затвердженого</w:t>
      </w:r>
      <w:r w:rsidRPr="00AE1D48">
        <w:rPr>
          <w:rFonts w:ascii="Arial" w:eastAsia="Times New Roman" w:hAnsi="Arial" w:cs="Arial"/>
          <w:color w:val="2A2928"/>
          <w:sz w:val="16"/>
          <w:lang w:eastAsia="ru-RU"/>
        </w:rPr>
        <w:t> </w:t>
      </w:r>
      <w:hyperlink r:id="rId8" w:tgtFrame="_top" w:history="1">
        <w:r w:rsidRPr="00AE1D48">
          <w:rPr>
            <w:rFonts w:ascii="Arial" w:eastAsia="Times New Roman" w:hAnsi="Arial" w:cs="Arial"/>
            <w:color w:val="0000FF"/>
            <w:sz w:val="16"/>
            <w:u w:val="single"/>
            <w:lang w:eastAsia="ru-RU"/>
          </w:rPr>
          <w:t>наказом Міністерства освіти і науки України від 24 травня 2016 року N 560</w:t>
        </w:r>
      </w:hyperlink>
      <w:r w:rsidRPr="00AE1D48">
        <w:rPr>
          <w:rFonts w:ascii="Arial" w:eastAsia="Times New Roman" w:hAnsi="Arial" w:cs="Arial"/>
          <w:color w:val="2A2928"/>
          <w:sz w:val="16"/>
          <w:szCs w:val="16"/>
          <w:lang w:eastAsia="ru-RU"/>
        </w:rPr>
        <w:t>, зареєстрованого у Міністерстві юстиції України 31 травня 2016 року за N 795/28925 (далі - наказ N 560) та до Порядку прийому для здобуття вищої, фахової передвищої та професійної (професійно-технічної) освіти осіб, місцем проживання яких є тимчасово окуповані території у Донецькій та Луганській областях, затвердженого</w:t>
      </w:r>
      <w:r w:rsidRPr="00AE1D48">
        <w:rPr>
          <w:rFonts w:ascii="Arial" w:eastAsia="Times New Roman" w:hAnsi="Arial" w:cs="Arial"/>
          <w:color w:val="2A2928"/>
          <w:sz w:val="16"/>
          <w:lang w:eastAsia="ru-RU"/>
        </w:rPr>
        <w:t> </w:t>
      </w:r>
      <w:hyperlink r:id="rId9" w:tgtFrame="_top" w:history="1">
        <w:r w:rsidRPr="00AE1D48">
          <w:rPr>
            <w:rFonts w:ascii="Arial" w:eastAsia="Times New Roman" w:hAnsi="Arial" w:cs="Arial"/>
            <w:color w:val="0000FF"/>
            <w:sz w:val="16"/>
            <w:u w:val="single"/>
            <w:lang w:eastAsia="ru-RU"/>
          </w:rPr>
          <w:t>наказом Міністерства освіти і науки України від 21 червня 2016 року N 697</w:t>
        </w:r>
      </w:hyperlink>
      <w:r w:rsidRPr="00AE1D48">
        <w:rPr>
          <w:rFonts w:ascii="Arial" w:eastAsia="Times New Roman" w:hAnsi="Arial" w:cs="Arial"/>
          <w:color w:val="2A2928"/>
          <w:sz w:val="16"/>
          <w:szCs w:val="16"/>
          <w:lang w:eastAsia="ru-RU"/>
        </w:rPr>
        <w:t>, зареєстрованого у Міністерстві юстиції України 01 липня 2016 року за N 907/29037 (далі - наказ N 697);</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квота-4 - визначена частина загального обсягу бюджетних місць, яка може бути використана для прийому вступників, що мають право на першочергове зарахування до закладів вищої (фахової передвищої) освіти для здобуття освіти за медичними (фармацевтичними), мистецькими та педагогічними спеціальностями, відповідно до абзацу другого</w:t>
      </w:r>
      <w:r w:rsidRPr="00AE1D48">
        <w:rPr>
          <w:rFonts w:ascii="Arial" w:eastAsia="Times New Roman" w:hAnsi="Arial" w:cs="Arial"/>
          <w:color w:val="2A2928"/>
          <w:sz w:val="16"/>
          <w:lang w:eastAsia="ru-RU"/>
        </w:rPr>
        <w:t> </w:t>
      </w:r>
      <w:hyperlink r:id="rId10" w:tgtFrame="_top" w:history="1">
        <w:r w:rsidRPr="00AE1D48">
          <w:rPr>
            <w:rFonts w:ascii="Arial" w:eastAsia="Times New Roman" w:hAnsi="Arial" w:cs="Arial"/>
            <w:color w:val="0000FF"/>
            <w:sz w:val="16"/>
            <w:u w:val="single"/>
            <w:lang w:eastAsia="ru-RU"/>
          </w:rPr>
          <w:t>частини третьої статті 43 Закону України "Про фахову передвищу освіту"</w:t>
        </w:r>
      </w:hyperlink>
      <w:r w:rsidRPr="00AE1D48">
        <w:rPr>
          <w:rFonts w:ascii="Arial" w:eastAsia="Times New Roman" w:hAnsi="Arial" w:cs="Arial"/>
          <w:color w:val="2A2928"/>
          <w:sz w:val="16"/>
          <w:lang w:eastAsia="ru-RU"/>
        </w:rPr>
        <w:t> </w:t>
      </w:r>
      <w:r w:rsidRPr="00AE1D48">
        <w:rPr>
          <w:rFonts w:ascii="Arial" w:eastAsia="Times New Roman" w:hAnsi="Arial" w:cs="Arial"/>
          <w:color w:val="2A2928"/>
          <w:sz w:val="16"/>
          <w:szCs w:val="16"/>
          <w:lang w:eastAsia="ru-RU"/>
        </w:rPr>
        <w:t>та Порядку реалізації права на першочергове зарахування до 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w:t>
      </w:r>
      <w:r w:rsidRPr="00AE1D48">
        <w:rPr>
          <w:rFonts w:ascii="Arial" w:eastAsia="Times New Roman" w:hAnsi="Arial" w:cs="Arial"/>
          <w:color w:val="2A2928"/>
          <w:sz w:val="16"/>
          <w:lang w:eastAsia="ru-RU"/>
        </w:rPr>
        <w:t> </w:t>
      </w:r>
      <w:hyperlink r:id="rId11" w:tgtFrame="_top" w:history="1">
        <w:r w:rsidRPr="00AE1D48">
          <w:rPr>
            <w:rFonts w:ascii="Arial" w:eastAsia="Times New Roman" w:hAnsi="Arial" w:cs="Arial"/>
            <w:color w:val="0000FF"/>
            <w:sz w:val="16"/>
            <w:u w:val="single"/>
            <w:lang w:eastAsia="ru-RU"/>
          </w:rPr>
          <w:t>постановою Кабінету Міністрів України від 30 травня 2018 року N 417</w:t>
        </w:r>
      </w:hyperlink>
      <w:r w:rsidRPr="00AE1D48">
        <w:rPr>
          <w:rFonts w:ascii="Arial" w:eastAsia="Times New Roman" w:hAnsi="Arial" w:cs="Arial"/>
          <w:color w:val="2A2928"/>
          <w:sz w:val="16"/>
          <w:lang w:eastAsia="ru-RU"/>
        </w:rPr>
        <w:t> </w:t>
      </w:r>
      <w:r w:rsidRPr="00AE1D48">
        <w:rPr>
          <w:rFonts w:ascii="Arial" w:eastAsia="Times New Roman" w:hAnsi="Arial" w:cs="Arial"/>
          <w:color w:val="2A2928"/>
          <w:sz w:val="16"/>
          <w:szCs w:val="16"/>
          <w:lang w:eastAsia="ru-RU"/>
        </w:rPr>
        <w:t>(далі - Порядок 417);</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конкурсна пропозиція - пропозиція закладу освіти (відокремленого структурного підрозділу закладу освіти) щодо кількості місць для прийому вступників на певні спеціальності (одну або декілька спеціалізацій, освітньо-професійних програм, мов, музичних інструментів тощо в межах спеціальності), форму здобуття освіти, курс, з переліком конкурсних предметів, творчих конкурсів, строку навчання на основі здобутого освітнього (освітньо-кваліфікаційного) рівня або освітнього ступеня.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не раніше двох місяців після початку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конкурсний бал - комплексна оцінка досягнень вступника, яка обраховується за результатами вступних випробувань та іншими конкурсними показниками з точністю до 0,001 відповідно до цих Умов та Правил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конкурсний відбір - процедура відбору вступників на конкурсні пропозиції на основі конкурсних балів для здобуття освітньо-професійного ступеня фахового молодшого бакалавра відповідно до цих Умов (незалежно від форми власності закладу освіти та джерел фінансування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до закладу фахової передвищої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організована група вступників - це зовнішньо створена роботодавцем група вступників, які вступають для здобуття фахової передвищої освіти за однією освітньо-професійною програмою за кошти роботодавця;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основна конкурсна пропозиція (основний конкурс) - конкурсна пропозиція з визначеною кількістю місць для навчання за державним або регіональним замовленням (загальний обсяг державного або регіонального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право на зарахування за квотами - право вступника щодо зарахування на навчання до закладу освіти за квотою-1, квотою-2, квотою-4, квотою для іноземців, що реалізується відповідно до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право на першочергове зарахування для здобуття фахової передвищої освіти за медичними, мистецькими та педагогічними спеціальностями - право вступника, передбачене законом, щодо зарахування на навчання до закладу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"Медсестринство", 224 "Технології медичної діагностики та лікування", 226 "Фармація, промислова фармація", 227 "Фізична терапія, ерготерапія",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w:t>
      </w:r>
      <w:hyperlink r:id="rId12" w:tgtFrame="_top" w:history="1">
        <w:r w:rsidRPr="00AE1D48">
          <w:rPr>
            <w:rFonts w:ascii="Arial" w:eastAsia="Times New Roman" w:hAnsi="Arial" w:cs="Arial"/>
            <w:color w:val="0000FF"/>
            <w:sz w:val="16"/>
            <w:u w:val="single"/>
            <w:lang w:eastAsia="ru-RU"/>
          </w:rPr>
          <w:t>Порядку 417</w:t>
        </w:r>
      </w:hyperlink>
      <w:r w:rsidRPr="00AE1D48">
        <w:rPr>
          <w:rFonts w:ascii="Arial" w:eastAsia="Times New Roman" w:hAnsi="Arial" w:cs="Arial"/>
          <w:color w:val="2A2928"/>
          <w:sz w:val="16"/>
          <w:lang w:eastAsia="ru-RU"/>
        </w:rPr>
        <w:t> </w:t>
      </w:r>
      <w:r w:rsidRPr="00AE1D48">
        <w:rPr>
          <w:rFonts w:ascii="Arial" w:eastAsia="Times New Roman" w:hAnsi="Arial" w:cs="Arial"/>
          <w:color w:val="2A2928"/>
          <w:sz w:val="16"/>
          <w:szCs w:val="16"/>
          <w:lang w:eastAsia="ru-RU"/>
        </w:rPr>
        <w:t>та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рейтинговий список вступників - список вступників за черговістю зарахування на навчання на конкурсну пропозицію, що формується відповідно до цих Умов та Правил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співбесіда - форма вступного випробування, яка передбачає оцінювання підготовленості (оцінювання знань, умінь та навичок вступника з конкурсного предмета(ів)), за результатами якої приймається протокольне рішення щодо надання вступнику рекомендації до зарахування;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старші курси - курси освітньо-професійних програм закладів фахової передвищої освіти, окрім першого;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творчий конкурс - форма вступного випробування для вступу для здобуття освітньо-професійного ступеня фахового молодшого бакалавра,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затвердженого</w:t>
      </w:r>
      <w:r w:rsidRPr="00AE1D48">
        <w:rPr>
          <w:rFonts w:ascii="Arial" w:eastAsia="Times New Roman" w:hAnsi="Arial" w:cs="Arial"/>
          <w:color w:val="2A2928"/>
          <w:sz w:val="16"/>
          <w:lang w:eastAsia="ru-RU"/>
        </w:rPr>
        <w:t> </w:t>
      </w:r>
      <w:hyperlink r:id="rId13" w:tgtFrame="_top" w:history="1">
        <w:r w:rsidRPr="00AE1D48">
          <w:rPr>
            <w:rFonts w:ascii="Arial" w:eastAsia="Times New Roman" w:hAnsi="Arial" w:cs="Arial"/>
            <w:color w:val="0000FF"/>
            <w:sz w:val="16"/>
            <w:u w:val="single"/>
            <w:lang w:eastAsia="ru-RU"/>
          </w:rPr>
          <w:t>наказом Міністерства освіти і науки України від 15 жовтня 2015 року N 1085</w:t>
        </w:r>
      </w:hyperlink>
      <w:r w:rsidRPr="00AE1D48">
        <w:rPr>
          <w:rFonts w:ascii="Arial" w:eastAsia="Times New Roman" w:hAnsi="Arial" w:cs="Arial"/>
          <w:color w:val="2A2928"/>
          <w:sz w:val="16"/>
          <w:szCs w:val="16"/>
          <w:lang w:eastAsia="ru-RU"/>
        </w:rPr>
        <w:t>, зареєстрованого в Міністерстві юстиції України 04 листопада 2015 року за N 1351/27796 (у редакції</w:t>
      </w:r>
      <w:r w:rsidRPr="00AE1D48">
        <w:rPr>
          <w:rFonts w:ascii="Arial" w:eastAsia="Times New Roman" w:hAnsi="Arial" w:cs="Arial"/>
          <w:color w:val="2A2928"/>
          <w:sz w:val="16"/>
          <w:lang w:eastAsia="ru-RU"/>
        </w:rPr>
        <w:t> </w:t>
      </w:r>
      <w:hyperlink r:id="rId14" w:tgtFrame="_top" w:history="1">
        <w:r w:rsidRPr="00AE1D48">
          <w:rPr>
            <w:rFonts w:ascii="Arial" w:eastAsia="Times New Roman" w:hAnsi="Arial" w:cs="Arial"/>
            <w:color w:val="0000FF"/>
            <w:sz w:val="16"/>
            <w:u w:val="single"/>
            <w:lang w:eastAsia="ru-RU"/>
          </w:rPr>
          <w:t>наказу Міністерства освіти і науки від 13 жовтня 2017 року N 1378</w:t>
        </w:r>
      </w:hyperlink>
      <w:r w:rsidRPr="00AE1D48">
        <w:rPr>
          <w:rFonts w:ascii="Arial" w:eastAsia="Times New Roman" w:hAnsi="Arial" w:cs="Arial"/>
          <w:color w:val="2A2928"/>
          <w:sz w:val="16"/>
          <w:szCs w:val="16"/>
          <w:lang w:eastAsia="ru-RU"/>
        </w:rPr>
        <w:t>). Результат творчого конкурсу оцінюється за шкалою, визначеною цими Умовами та Правилами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lastRenderedPageBreak/>
        <w:t>фахове випробування - форма вступного випробування для вступу на основі повної загальної (профільної) середньої освіти, здобутого освітньо-кваліфікаційного рівня кваліфікованого робітника, освітньо-кваліфікаційного рівня молодшого спеціаліста, ступенів вищої освіти, яка передбачає перевірку здатності до опанування освітньо-професійної програми освітньо-професійного ступеня фахового молодшого бакалавра на основі здобутих раніше компетентностей;</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чергова сесія прийому заяв - період прийому заяв та документів під час вступної кампанії, визначений Правилами прийому закладу фахової передвищої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Термін "ваучер" вжито у значенні, наведеному в</w:t>
      </w:r>
      <w:r w:rsidRPr="00AE1D48">
        <w:rPr>
          <w:rFonts w:ascii="Arial" w:eastAsia="Times New Roman" w:hAnsi="Arial" w:cs="Arial"/>
          <w:color w:val="2A2928"/>
          <w:sz w:val="16"/>
          <w:lang w:eastAsia="ru-RU"/>
        </w:rPr>
        <w:t> </w:t>
      </w:r>
      <w:hyperlink r:id="rId15" w:tgtFrame="_top" w:history="1">
        <w:r w:rsidRPr="00AE1D48">
          <w:rPr>
            <w:rFonts w:ascii="Arial" w:eastAsia="Times New Roman" w:hAnsi="Arial" w:cs="Arial"/>
            <w:color w:val="0000FF"/>
            <w:sz w:val="16"/>
            <w:u w:val="single"/>
            <w:lang w:eastAsia="ru-RU"/>
          </w:rPr>
          <w:t>Законі України "Про зайнятість населення"</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Термін "закордонні українці" вжито у значенні, наведеному в</w:t>
      </w:r>
      <w:r w:rsidRPr="00AE1D48">
        <w:rPr>
          <w:rFonts w:ascii="Arial" w:eastAsia="Times New Roman" w:hAnsi="Arial" w:cs="Arial"/>
          <w:color w:val="2A2928"/>
          <w:sz w:val="16"/>
          <w:lang w:eastAsia="ru-RU"/>
        </w:rPr>
        <w:t> </w:t>
      </w:r>
      <w:hyperlink r:id="rId16" w:tgtFrame="_top" w:history="1">
        <w:r w:rsidRPr="00AE1D48">
          <w:rPr>
            <w:rFonts w:ascii="Arial" w:eastAsia="Times New Roman" w:hAnsi="Arial" w:cs="Arial"/>
            <w:color w:val="0000FF"/>
            <w:sz w:val="16"/>
            <w:u w:val="single"/>
            <w:lang w:eastAsia="ru-RU"/>
          </w:rPr>
          <w:t>Законі України "Про закордонних українців"</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Інші терміни вжито у значеннях, наведених у</w:t>
      </w:r>
      <w:r w:rsidRPr="00AE1D48">
        <w:rPr>
          <w:rFonts w:ascii="Arial" w:eastAsia="Times New Roman" w:hAnsi="Arial" w:cs="Arial"/>
          <w:color w:val="2A2928"/>
          <w:sz w:val="16"/>
          <w:lang w:eastAsia="ru-RU"/>
        </w:rPr>
        <w:t> </w:t>
      </w:r>
      <w:hyperlink r:id="rId17" w:tgtFrame="_top" w:history="1">
        <w:r w:rsidRPr="00AE1D48">
          <w:rPr>
            <w:rFonts w:ascii="Arial" w:eastAsia="Times New Roman" w:hAnsi="Arial" w:cs="Arial"/>
            <w:color w:val="0000FF"/>
            <w:sz w:val="16"/>
            <w:u w:val="single"/>
            <w:lang w:eastAsia="ru-RU"/>
          </w:rPr>
          <w:t>Законах України "Про фахову передвищу освіту"</w:t>
        </w:r>
      </w:hyperlink>
      <w:r w:rsidRPr="00AE1D48">
        <w:rPr>
          <w:rFonts w:ascii="Arial" w:eastAsia="Times New Roman" w:hAnsi="Arial" w:cs="Arial"/>
          <w:color w:val="2A2928"/>
          <w:sz w:val="16"/>
          <w:lang w:eastAsia="ru-RU"/>
        </w:rPr>
        <w:t> </w:t>
      </w:r>
      <w:r w:rsidRPr="00AE1D48">
        <w:rPr>
          <w:rFonts w:ascii="Arial" w:eastAsia="Times New Roman" w:hAnsi="Arial" w:cs="Arial"/>
          <w:color w:val="2A2928"/>
          <w:sz w:val="16"/>
          <w:szCs w:val="16"/>
          <w:lang w:eastAsia="ru-RU"/>
        </w:rPr>
        <w:t>та</w:t>
      </w:r>
      <w:hyperlink r:id="rId18" w:tgtFrame="_top" w:history="1">
        <w:r w:rsidRPr="00AE1D48">
          <w:rPr>
            <w:rFonts w:ascii="Arial" w:eastAsia="Times New Roman" w:hAnsi="Arial" w:cs="Arial"/>
            <w:color w:val="0000FF"/>
            <w:sz w:val="16"/>
            <w:u w:val="single"/>
            <w:lang w:eastAsia="ru-RU"/>
          </w:rPr>
          <w:t>"Про освіту"</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II. Прийом на навчання до закладів фахової передвищої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Для здобуття фахової передвищої освіти приймаються: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здобули базову загальну середню освіту - для здобуття освітньо-професійного ступеня фахового молодшого бакалавра за денною формою здобуття освіти одночасно із виконанням освітньої програми профільної середньої освіти професійного спрямування;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здобули повну загальну середню освіту (профільну середню освіту, незалежно від здобутого профілю);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здобули освітньо-кваліфікаційний рівень кваліфікованого робітника;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здобули освітньо-кваліфікаційний рівень молодшого спеціаліста;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здобули будь-який ступінь 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здобуття фахової передвищої освіти за іншою спеціальністю приймаються особи, які здобули раніше такий освітній рівень чи ступінь вищої освіти або мають повну загальну середню освіту та здобувають освітньо-кваліфікаційний рівень молодшого спеціаліста, ступінь вищої освіти не менше одного року та виконують у повному обсязі індивідуальний навчальний план.</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Вступники приймаються на навчання на перший курс. Особи, які здобули повну загальну середню освіту або освітньо-кваліфікаційний рівень кваліфікованого робітника, можуть прийматись на другий (третій) курс або на перший курс (зі скороченим строком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здобуття фахової передвищої освіти за іншою спеціальністю особи можуть вступати на другий або старші курси (перший курс, у тому числі зі скороченим строком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Відраховані здобувачі вищої освіти ступенів молодшого бакалавра, бакалавра мають право бути поновленими для здобуття освітньо-професійного ступеня фахового молодшого бакалавра за індивідуальною програмою на ту саму або споріднену в межах галузі знань спеціальність у тому самому або іншому закладі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Прийом на навчання проводиться за спеціальностями (спеціалізаціями) відповідно до Переліку галузей знань і спеціальностей, за якими здійснюється підготовка здобувачів вищої освіти, затвердженого</w:t>
      </w:r>
      <w:r w:rsidRPr="00AE1D48">
        <w:rPr>
          <w:rFonts w:ascii="Arial" w:eastAsia="Times New Roman" w:hAnsi="Arial" w:cs="Arial"/>
          <w:color w:val="2A2928"/>
          <w:sz w:val="16"/>
          <w:lang w:eastAsia="ru-RU"/>
        </w:rPr>
        <w:t> </w:t>
      </w:r>
      <w:hyperlink r:id="rId19" w:tgtFrame="_top" w:history="1">
        <w:r w:rsidRPr="00AE1D48">
          <w:rPr>
            <w:rFonts w:ascii="Arial" w:eastAsia="Times New Roman" w:hAnsi="Arial" w:cs="Arial"/>
            <w:color w:val="0000FF"/>
            <w:sz w:val="16"/>
            <w:u w:val="single"/>
            <w:lang w:eastAsia="ru-RU"/>
          </w:rPr>
          <w:t>постановою Кабінету Міністрів України від 29 квітня 2015 року N 266</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Прийом вступників на навчання проводиться на конкурсні пропозиції, які самостійно формує заклад освіти, що здійснює підготовку за освітньо-професійним ступенем фахового молодшого бакалавра відповідно до наявних ліцензій.</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Назви конкурсних пропозицій формуються без позначок та скорочень державною мовою і можуть дублюватися іншими мовами.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Особливості прийому на навчання до закладів спеціалізованої фахової передвищої освіти визначаються правилами прийому до цих закладів освіти, які розробляються центральним органом виконавчої влади, до сфери управління якого належать такі заклади.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Особливості прийому до закладів освіти осіб, які проживають на тимчасово окупованій території або переселилися з неї після 01 січня 2021 року, визначаються</w:t>
      </w:r>
      <w:r w:rsidRPr="00AE1D48">
        <w:rPr>
          <w:rFonts w:ascii="Arial" w:eastAsia="Times New Roman" w:hAnsi="Arial" w:cs="Arial"/>
          <w:color w:val="2A2928"/>
          <w:sz w:val="16"/>
          <w:lang w:eastAsia="ru-RU"/>
        </w:rPr>
        <w:t> </w:t>
      </w:r>
      <w:hyperlink r:id="rId20" w:tgtFrame="_top" w:history="1">
        <w:r w:rsidRPr="00AE1D48">
          <w:rPr>
            <w:rFonts w:ascii="Arial" w:eastAsia="Times New Roman" w:hAnsi="Arial" w:cs="Arial"/>
            <w:color w:val="0000FF"/>
            <w:sz w:val="16"/>
            <w:u w:val="single"/>
            <w:lang w:eastAsia="ru-RU"/>
          </w:rPr>
          <w:t>наказом N 560</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Особливості прийому до закладів освіти осіб,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територія населених пунктів на лінії зіткнення або які переселилися з неї після 01 січня 2021 року, визначаються</w:t>
      </w:r>
      <w:r w:rsidRPr="00AE1D48">
        <w:rPr>
          <w:rFonts w:ascii="Arial" w:eastAsia="Times New Roman" w:hAnsi="Arial" w:cs="Arial"/>
          <w:color w:val="2A2928"/>
          <w:sz w:val="16"/>
          <w:lang w:eastAsia="ru-RU"/>
        </w:rPr>
        <w:t> </w:t>
      </w:r>
      <w:hyperlink r:id="rId21" w:tgtFrame="_top" w:history="1">
        <w:r w:rsidRPr="00AE1D48">
          <w:rPr>
            <w:rFonts w:ascii="Arial" w:eastAsia="Times New Roman" w:hAnsi="Arial" w:cs="Arial"/>
            <w:color w:val="0000FF"/>
            <w:sz w:val="16"/>
            <w:u w:val="single"/>
            <w:lang w:eastAsia="ru-RU"/>
          </w:rPr>
          <w:t>наказом N 697</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7. Прийом вступників на навчання до закладів фахової передвищої освіти за спеціальністю 081 "Право" за кошти державного або регіонального бюджету в 2021 році не проводиться.</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III. Джерела фінансування здобуття освітньо-професійного ступеня фахового молодшого бакалавра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Фінансування підготовки здобувачів освітньо-професійного ступеня фахового молодшого бакалавра здійснюється: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рахунок цільових пільгових державних кредитів. Отримання цільових пільгових державних кредитів для здобуття фахової передвищої освіти здійснюється відповідно до Порядку пільгового кредитування для здобуття професійно-технічної та вищої освіти, затвердженого</w:t>
      </w:r>
      <w:r w:rsidRPr="00AE1D48">
        <w:rPr>
          <w:rFonts w:ascii="Arial" w:eastAsia="Times New Roman" w:hAnsi="Arial" w:cs="Arial"/>
          <w:color w:val="2A2928"/>
          <w:sz w:val="16"/>
          <w:lang w:eastAsia="ru-RU"/>
        </w:rPr>
        <w:t> </w:t>
      </w:r>
      <w:hyperlink r:id="rId22" w:tgtFrame="_top" w:history="1">
        <w:r w:rsidRPr="00AE1D48">
          <w:rPr>
            <w:rFonts w:ascii="Arial" w:eastAsia="Times New Roman" w:hAnsi="Arial" w:cs="Arial"/>
            <w:color w:val="0000FF"/>
            <w:sz w:val="16"/>
            <w:u w:val="single"/>
            <w:lang w:eastAsia="ru-RU"/>
          </w:rPr>
          <w:t>постановою Кабінету Міністрів України від 29 серпня 2018 року N 673</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ваучерами;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кошти фізичних та юридичних осіб (на умовах контракту).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восьми попередніх років за кошти державного або місцевого бюджету.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базової загальної середньої освіти лише за кошти фізичних або юридичних осіб.</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Цільові пільгові державні кредити надаються особам, які зараховані на навчання для здобуття фахової передвищої освіти за денною або заочною формою на підставі угод, укладених між закладом освіти та фізичною або юридичною особою. Пільговий довгостроковий кредит для здобуття фахової передвищої освіти - студентам, які відповідно до</w:t>
      </w:r>
      <w:r w:rsidRPr="00AE1D48">
        <w:rPr>
          <w:rFonts w:ascii="Arial" w:eastAsia="Times New Roman" w:hAnsi="Arial" w:cs="Arial"/>
          <w:color w:val="2A2928"/>
          <w:sz w:val="16"/>
          <w:lang w:eastAsia="ru-RU"/>
        </w:rPr>
        <w:t> </w:t>
      </w:r>
      <w:hyperlink r:id="rId23" w:tgtFrame="_top" w:history="1">
        <w:r w:rsidRPr="00AE1D48">
          <w:rPr>
            <w:rFonts w:ascii="Arial" w:eastAsia="Times New Roman" w:hAnsi="Arial" w:cs="Arial"/>
            <w:color w:val="0000FF"/>
            <w:sz w:val="16"/>
            <w:u w:val="single"/>
            <w:lang w:eastAsia="ru-RU"/>
          </w:rPr>
          <w:t>Закону України "Про забезпечення прав і свобод внутрішньо переміщених осіб"</w:t>
        </w:r>
      </w:hyperlink>
      <w:r w:rsidRPr="00AE1D48">
        <w:rPr>
          <w:rFonts w:ascii="Arial" w:eastAsia="Times New Roman" w:hAnsi="Arial" w:cs="Arial"/>
          <w:color w:val="2A2928"/>
          <w:sz w:val="16"/>
          <w:lang w:eastAsia="ru-RU"/>
        </w:rPr>
        <w:t> </w:t>
      </w:r>
      <w:r w:rsidRPr="00AE1D48">
        <w:rPr>
          <w:rFonts w:ascii="Arial" w:eastAsia="Times New Roman" w:hAnsi="Arial" w:cs="Arial"/>
          <w:color w:val="2A2928"/>
          <w:sz w:val="16"/>
          <w:szCs w:val="16"/>
          <w:lang w:eastAsia="ru-RU"/>
        </w:rPr>
        <w:t>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закладу фахової передвищої (вищої) освіти, але не довше ніж до досягнення 23 років.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у тому числі за кошти державного або місцевого бюджету.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 xml:space="preserve">5. Особи, які навчаються в закладах, що надають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фахової передвищої (вищої) освіти за різними </w:t>
      </w:r>
      <w:r w:rsidRPr="00AE1D48">
        <w:rPr>
          <w:rFonts w:ascii="Arial" w:eastAsia="Times New Roman" w:hAnsi="Arial" w:cs="Arial"/>
          <w:color w:val="2A2928"/>
          <w:sz w:val="16"/>
          <w:szCs w:val="16"/>
          <w:lang w:eastAsia="ru-RU"/>
        </w:rPr>
        <w:lastRenderedPageBreak/>
        <w:t>формами здобуття освіти, за умови отримання тільки однієї освіти за кошти державного, місцевого бюджету. 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бюджетів.</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IV. Обсяги прийому та обсяги державного (регіонального)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Прийом на навчання здійснюється в межах ліцензованого обсягу за кожною спеціальністю. Прийом на навчання на другий та наступні курси здійснюється в межах вакантних місць ліцензованого обсягу.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конкурсних пропозицій - у разі необхідності), форм навчання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Прийом на навчання за кошти державного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грудня 2020 року, за кошти фізичних та/або юридичних осіб - не пізніше ніж 31 травня 2021 року.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Загальний обсяг бюджетних місць для основних конкурсних пропозицій, обсяги квоти-1, квоти-2, квоти-4, квоти для іноземців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визначається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V. Строки прийому заяв та документів, конкурсного відбору та зарахування на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Для вступників на основі базової загальної середньої освіти за денною формою здобуття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прийом заяв та документів, визначених розділом VII цих Умов, починається 29 червня та закінчується 13 липня о 18:00 год;</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Додатковий прийом документів для здобуття фахової передвищої освіти виключно за кошти фізичних або юридичних осіб заклад освіти визначає своїми Правилами прийому за умови додаткового зарахування не пізніше 31 серпня.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вступні іспити, творчі конкурси та співбесіди проводяться: з 14 липня до 24 липня; Перелік 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 (додаток 1 до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творчі конкурси можуть проводитись не більше ніж у два тури, кожен тур має оцінюватись окремо;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рейтинговий список вступників, які вступають на основі вступних випробувань (у тому числі за співбесідою, творчими конкурсами, квотами-1 та квотами-2), із зазначенням рекомендованих до зарахування формується на основі конкурсного бала за кожною конкурсною пропозицією з повідомленням про отримання чи неотримання ними права на здобуття фахової передвищої освіти за державним або регіональним замовленням та оприлюднюється не пізніше: 12:00 год 27 липня;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вступники, які отримали рекомендації до зарахування, мають виконати вимоги до зарахування: на місця державного або регіонального замовлення - до 12:00 год 29 липня;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зарахування вступників відбувається: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державним або регіональним замовленням - не пізніше 18:00 год 31 липня;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кошти фізичних або юридичних осіб - не пізніше ніж 03 серпня, додаткове зарахування - не пізніше ніж 31 серпня;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переведення на вакантні місця державного (регіонального) замовлення осіб, які зараховані на навчання за кошти фізичних або юридичних осіб на основі базової загальної середньої освіти (у межах цих Умов), проводиться не пізніше 09 серпня.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Для вступників на основі повної загальної середньої освіти за денною формою здобуття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реєстрація електронних кабінетів вступників, завантаження необхідних документів розпочинається 01 липня;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медичні огляди та інші доконкурсні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прийом заяв та документів, передбачених розділом VI цих Умов, розпочинається 14 липня, крім військових коледжів сержантського складу та фахових коледжів із специфічними умовами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вступні іспити, творчі конкурси проводяться в кілька потоків з 01 по 13 липня включно для вступників, які вступають на місця державного або регіонального замовлення. У період з 14 липня по 02 серпня можуть проводитись додаткові сесії іспитів,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У творчих конкурсах мають право брати участь особи, які здобули повну загальну середню освіту або завершують її здобуття до 10 липня, що підтверджується відповідним документом або довідкою закладу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прийом заяв та документів закінчується: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 18:00 год 26 липня - для осіб, які вступають на основі співбесіди або вступних іспитів та творчих конкурсів;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 18:00 год 02 серпня - для осіб, які вступають тільки на основі сертифікатів зовнішнього незалежного оцінювання;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вступні іспити, творчі конкурси проводяться з 01 до 20 липня включно;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співбесіди проводяться з 24 до 29 липня включно;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 xml:space="preserve">7) строки прийому заяв, проведення творчих конкурсів, співбесід, вступних іспитів, оприлюднення рейтингових списків з повідомленням про отримання чи неотримання вступниками права на здобуття освітньо-професійного ступеня фахового молодшого бакалавра за державним </w:t>
      </w:r>
      <w:r w:rsidRPr="00AE1D48">
        <w:rPr>
          <w:rFonts w:ascii="Arial" w:eastAsia="Times New Roman" w:hAnsi="Arial" w:cs="Arial"/>
          <w:color w:val="2A2928"/>
          <w:sz w:val="16"/>
          <w:szCs w:val="16"/>
          <w:lang w:eastAsia="ru-RU"/>
        </w:rPr>
        <w:lastRenderedPageBreak/>
        <w:t>замовленням, виконання вимог до зарахування на місця державного замовлення, зарахування вступників на місця державного замовлення та виключення з конкурсу на інші місця державного замовлення осіб, які вступають на навчання для підготовки військових фахівців, визначаються правилами прийому до закладів фахової передвищої освіти. Військові коледжі сержантського складу та фахові коледжі із специфічними умовами навчання забезпечують виключення зарахованих на місця державного замовлення вступників з конкурсу на інші місця державного замовлення не пізніше 20 липня;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8) списки осіб, рекомендованих до зарахування за результатами співбесіди та за квотами-2, з повідомленням про отримання чи неотримання ними права на здобуття освітньо-професійного ступеня фахового молодшого бакалавра за державним (регіональним) замовленням оприлюднюються не пізніше 12:00 год 05 серпня. Вступники, які отримали рекомендації, мають виконати вимоги до зарахування на місця державного замовлення до 18:00 год 06 серпня, а також подати письмову заяву про виключення з конкурсу на інші місця державного замовлення. Зарахування цієї категорії вступників за державним замовленням відбувається не пізніше 12:00 год 07 серпня. Зараховані особи впродовж 07 серпня виключаються з конкурсу на інші місця державного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9) рейтинговий список вступників, які вступають на основі сертифікатів зовнішнього незалежного оцінювання, творчих конкурсів та вступних іспитів (у тому числі за квотами-1), із зазначенням рекомендованих до зарахування формується на основі конкурсного бала за кожною конкурсною пропозицією з повідомленням про отримання чи неотримання ними права на здобуття освітньо-професійного ступеня фахового молодшого бакалавра за державним або регіональним замовленням та оприлюднюється не пізніше 12:00 год 05 серпня;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10) вступники, які отримали рекомендації, повинні виконати вимоги до зарахування на місця державного (регіонального) замовлення до 12:00 год 09 серпня;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11) зарахування вступників відбувається: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державним (регіональним) замовленням - не пізніше 12:00 год 14 серпня;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кошти фізичних або юридичних осіб - не пізніше 12:00 год 20 серпня (додаткове зарахування на вільні місця за кошти фізичних та юридичних осіб - не пізніше 30 вересня);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12) переведення на вакантні місця державного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цих Умов), проводиться не пізніше 20 серпня.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Для вступників на основі повної загальної (профільної) середньої освіти за іншими (крім денної та дуальної) формами здобуття освіти 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13 липня, тривалість кожної сесії прийому документів становить не більше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30 листопада 2021 року.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Для вступників на основі освітньо-кваліфікаційного рівня кваліфікованого робітника та всіх інших категорій вступників строки прийому заяв та документів, конкурсного відбору і зарахування на навчання визначаються правилами прийому (при цьому зарахування на місця державного (регіонального) замовлення закінчується не пізніше 15 вересня, крім випадків, визначених розділом XV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Прийом заяв та документів, конкурсний відбір і зарахування на навчання організованих груп вступників (крім вступників на основі базової загальної середньої освіти) може бути дозволено Міністерством освіти і науки України упродовж року за зверненням Спільним представницьким органом сторони роботодавців на національному рівні, обласних (галузевих) організацій роботодавців за рахунок коштів юридичних осіб (роботодавців), але не пізніше 30 листопада.</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VI. Порядок прийому заяв та документів для участі у конкурсному відборі на навчання до закладів фахової передвищої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Вступники на навчання для здобуття фахової передвищої освіти на основі повної загальної (профільної) середньої освіти подають заяви: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тільки в електронній формі (через електронний кабінет), крім визначених у цьому пункті випадків;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тільки у паперовій формі: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реалізації права на вступ за співбесідою, за результатами вступних іспитів з конкурсних предметів у закладі фахової передвищої освіти та/або квотою-1, квотою-2 відповідно до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реалізації права на першочергове зарахування відповідно до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наявності розбіжностей в даних вступника в ЄДЕБО (прізвище, ім'я, по батькові (за наявності), дата народження, стать, громадянство тощо) і у відповідному документі про раніше здобуту освіту та у сертифікаті зовнішнього незалежного оцінювання;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разі подання іноземного документа про освіту;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разі подання документа про повну загальну середню освіту, виданого до запровадження фотополімерних технологій їх виготовлення;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разі подання документів іноземцями та особами без громадянства;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разі подання заяви після завершення строків роботи електронних кабінетів;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фахової передвищої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які мають бути подані в строки прийому заяв, відповідно до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Інші категорії вступників, крім зазначених у пункті 1 цього розділу, подають заяви тільки в паперовій формі.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Заява в електронній формі подається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документа про повну загальну (профільну) середню освіту.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Заяву в паперовій формі вступник подає особисто до приймальної комісії закладу освіти. Відомості кожної заяви в паперовому вигляді реєструє уповноважена особа приймальної комісії в ЄДЕБО в день прийняття заяви.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Під час подання заяв на основні конкурсні пропозиції вступники обов'язково зазначають один з таких варіантів: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lastRenderedPageBreak/>
        <w:t>"Претендую на участь у конкурсі на місця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регіонального бюджету (за державним або регіональним замовленням)";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Під час подання заяв на небюджетну конкурсну пропозицію вступники претендують на участь в конкурсі виключно за кошти фізичних та юридичних осіб, повідомлені про неможливість переведення в межах вступної кампанії на місця державного або регіонального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Під час подання заяви в паперовій формі вступник пред'являє особисто оригінали: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документа (одного з документів), що посвідчує особу, передбаченого</w:t>
      </w:r>
      <w:r w:rsidRPr="00AE1D48">
        <w:rPr>
          <w:rFonts w:ascii="Arial" w:eastAsia="Times New Roman" w:hAnsi="Arial" w:cs="Arial"/>
          <w:color w:val="2A2928"/>
          <w:sz w:val="16"/>
          <w:lang w:eastAsia="ru-RU"/>
        </w:rPr>
        <w:t> </w:t>
      </w:r>
      <w:hyperlink r:id="rId24" w:tgtFrame="_top" w:history="1">
        <w:r w:rsidRPr="00AE1D48">
          <w:rPr>
            <w:rFonts w:ascii="Arial" w:eastAsia="Times New Roman" w:hAnsi="Arial" w:cs="Arial"/>
            <w:color w:val="0000FF"/>
            <w:sz w:val="16"/>
            <w:u w:val="single"/>
            <w:lang w:eastAsia="ru-RU"/>
          </w:rPr>
          <w:t>Законом України "Про Єдиний державний демографічний реєстр та документи, що підтверджують громадянство, посвідчують особу чи її спеціальний статус"</w:t>
        </w:r>
      </w:hyperlink>
      <w:r w:rsidRPr="00AE1D48">
        <w:rPr>
          <w:rFonts w:ascii="Arial" w:eastAsia="Times New Roman" w:hAnsi="Arial" w:cs="Arial"/>
          <w:color w:val="2A2928"/>
          <w:sz w:val="16"/>
          <w:lang w:eastAsia="ru-RU"/>
        </w:rPr>
        <w:t> </w:t>
      </w:r>
      <w:r w:rsidRPr="00AE1D48">
        <w:rPr>
          <w:rFonts w:ascii="Arial" w:eastAsia="Times New Roman" w:hAnsi="Arial" w:cs="Arial"/>
          <w:color w:val="2A2928"/>
          <w:sz w:val="16"/>
          <w:szCs w:val="16"/>
          <w:lang w:eastAsia="ru-RU"/>
        </w:rPr>
        <w:t>(свідоцтва про народження для осіб, яким виповнюється 14 років після 01 квітня 2021 року);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документа державного зразка про раніше здобутий освітній (освітньо-кваліфікаційний) рівень, ступінь вищої освіти, на основі якого здійснюється вступ, і додаток до нього;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сертифіката(ів) зовнішнього незалежного оцінювання (у випадках, передбачених цими Умовами);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документів, які підтверджують право вступника на зарахування за співбесідою та/або на участь у конкурсі за квотою1 або квотою-2 на основі повної загальної середньої освіти (за наявності).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Вступники, які проживають на тимчасово окупованій території України або переселилися з неї після 01 січня 2021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w:t>
      </w:r>
      <w:r w:rsidRPr="00AE1D48">
        <w:rPr>
          <w:rFonts w:ascii="Arial" w:eastAsia="Times New Roman" w:hAnsi="Arial" w:cs="Arial"/>
          <w:color w:val="2A2928"/>
          <w:sz w:val="16"/>
          <w:lang w:eastAsia="ru-RU"/>
        </w:rPr>
        <w:t> </w:t>
      </w:r>
      <w:hyperlink r:id="rId25" w:tgtFrame="_top" w:history="1">
        <w:r w:rsidRPr="00AE1D48">
          <w:rPr>
            <w:rFonts w:ascii="Arial" w:eastAsia="Times New Roman" w:hAnsi="Arial" w:cs="Arial"/>
            <w:color w:val="0000FF"/>
            <w:sz w:val="16"/>
            <w:u w:val="single"/>
            <w:lang w:eastAsia="ru-RU"/>
          </w:rPr>
          <w:t>наказами N 560</w:t>
        </w:r>
      </w:hyperlink>
      <w:r w:rsidRPr="00AE1D48">
        <w:rPr>
          <w:rFonts w:ascii="Arial" w:eastAsia="Times New Roman" w:hAnsi="Arial" w:cs="Arial"/>
          <w:color w:val="2A2928"/>
          <w:sz w:val="16"/>
          <w:szCs w:val="16"/>
          <w:lang w:eastAsia="ru-RU"/>
        </w:rPr>
        <w:t>,</w:t>
      </w:r>
      <w:r w:rsidRPr="00AE1D48">
        <w:rPr>
          <w:rFonts w:ascii="Arial" w:eastAsia="Times New Roman" w:hAnsi="Arial" w:cs="Arial"/>
          <w:color w:val="2A2928"/>
          <w:sz w:val="16"/>
          <w:lang w:eastAsia="ru-RU"/>
        </w:rPr>
        <w:t> </w:t>
      </w:r>
      <w:hyperlink r:id="rId26" w:tgtFrame="_top" w:history="1">
        <w:r w:rsidRPr="00AE1D48">
          <w:rPr>
            <w:rFonts w:ascii="Arial" w:eastAsia="Times New Roman" w:hAnsi="Arial" w:cs="Arial"/>
            <w:color w:val="0000FF"/>
            <w:sz w:val="16"/>
            <w:u w:val="single"/>
            <w:lang w:eastAsia="ru-RU"/>
          </w:rPr>
          <w:t>N 697</w:t>
        </w:r>
      </w:hyperlink>
      <w:r w:rsidRPr="00AE1D48">
        <w:rPr>
          <w:rFonts w:ascii="Arial" w:eastAsia="Times New Roman" w:hAnsi="Arial" w:cs="Arial"/>
          <w:color w:val="2A2928"/>
          <w:sz w:val="16"/>
          <w:lang w:eastAsia="ru-RU"/>
        </w:rPr>
        <w:t> </w:t>
      </w:r>
      <w:r w:rsidRPr="00AE1D48">
        <w:rPr>
          <w:rFonts w:ascii="Arial" w:eastAsia="Times New Roman" w:hAnsi="Arial" w:cs="Arial"/>
          <w:color w:val="2A2928"/>
          <w:sz w:val="16"/>
          <w:szCs w:val="16"/>
          <w:lang w:eastAsia="ru-RU"/>
        </w:rPr>
        <w:t>відповідно.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Якщо з об'єктивних причин документ про здобутий освітній (освітньо-кваліфікаційний) рівень, ступінь вищої освіти відсутній, може подаватись довідка державного підприємства "Інфоресурс" або виписка з Реєстру документів про освіту ЄДЕБО про його здобуття, у тому числі без подання додатка документа про здобутий освітній (освітньо-кваліфікаційний) рівень, ступінь 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7. До заяви, поданої в паперовій формі, вступник додає:</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копію документа (одного з документів), що посвідчує особу, передбаченого</w:t>
      </w:r>
      <w:r w:rsidRPr="00AE1D48">
        <w:rPr>
          <w:rFonts w:ascii="Arial" w:eastAsia="Times New Roman" w:hAnsi="Arial" w:cs="Arial"/>
          <w:color w:val="2A2928"/>
          <w:sz w:val="16"/>
          <w:lang w:eastAsia="ru-RU"/>
        </w:rPr>
        <w:t> </w:t>
      </w:r>
      <w:hyperlink r:id="rId27" w:tgtFrame="_top" w:history="1">
        <w:r w:rsidRPr="00AE1D48">
          <w:rPr>
            <w:rFonts w:ascii="Arial" w:eastAsia="Times New Roman" w:hAnsi="Arial" w:cs="Arial"/>
            <w:color w:val="0000FF"/>
            <w:sz w:val="16"/>
            <w:u w:val="single"/>
            <w:lang w:eastAsia="ru-RU"/>
          </w:rPr>
          <w:t>Законом України "Про Єдиний державний демографічний реєстр та документи, що підтверджують громадянство, посвідчують особу чи її спеціальний статус"</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копію документа державного зразка про раніше здобутий освітній (освітньо-кваліфікаційний) рівень, ступінь вищої освіти, на основі якого здійснюється вступ, і копію додатка до нього;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копію сертифіката(ів) зовнішнього незалежного оцінювання (у випадках, передбачених цими Умовами);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чотири кольорові фотокартки розміром 3 х 4 см.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спеціальність чи конкурсну пропозицію.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Вступники, які проходять творчі конкурси, допускаються до участі в них за наявності оригіналу документа, що посвідчує особу (свідоцтва про народження для осіб, яким виповнюється 14 років після 01 квітня 2021 року), та екзаменаційного листка з фотокарткою.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8. Копії документів, що засвідчують підстави для отримання спеціальних умов для зарахування за співбесідою, на участь у конкурсі за квотою-1, квотою-2 подаються вступником особисто при подачі документів у паперовій формі у визначені цими Умовами або відповідно до них терміни. Не подані своєчасно документи, що засвідчують підстави для отримання спеціальних умов на зарахування за співбесідою, на участь у конкурсі за квотою-1, квотою-2, унеможливлюють їх реалізацію.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9. Копії документів, що засвідчують підстави для отримання спеціальних умов особою, яка зарахована на навчання за кошти фізичних, юридичних осіб на основі базової або повної загальної (профільної) середньої освіти,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за кошти фізичних та/або юридичних осіб, але не пізніше ніж 11 вересня. Не подані своєчасно документи, 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10.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11. Приймальна комісія здійснює перевірку підстав для отримання спеціальних умов для зарахування за співбесідою, на участь у конкурсі за квотою-1, квотою-2 та спеціальних умов для осіб, які зараховані на навчання за кошти фізичних, юридичних осіб, на переведення на вакантні місця державного замовлення та за рахунок цільових пільгових державних кредитів.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Приймальна комісія здійснює перевірку середнього бала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 У разі подання вступником заяви в електронній формі приймальна комісія здійснює перевірку середнього бала документа про освіту на підставі його сканованої копії (фотокопії).</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12.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або отримання результатів вступних випробувань, але не пізніше наступного дня після завершення прийому документів. Оприлюднення поточних рейтингових списків вступників здійснюється на вебсайті закладу освіти на підставі даних, внесених до ЄДЕБО.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13.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а також факт наявності/відсутності підстав для зарахування за співбесідою, зарахування за квотою-1, квотою-2 фіксуються в заяві вступника і підтверджуються його особистим підписом під час подання заяви.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 xml:space="preserve">14.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закінчення подання електронних заяв для електронних заяв за умови </w:t>
      </w:r>
      <w:r w:rsidRPr="00AE1D48">
        <w:rPr>
          <w:rFonts w:ascii="Arial" w:eastAsia="Times New Roman" w:hAnsi="Arial" w:cs="Arial"/>
          <w:color w:val="2A2928"/>
          <w:sz w:val="16"/>
          <w:szCs w:val="16"/>
          <w:lang w:eastAsia="ru-RU"/>
        </w:rPr>
        <w:lastRenderedPageBreak/>
        <w:t>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Технічний адміністратор засобами мобільного або електронного зв'язку повідомляє вступникові про скасування заяви в день її скасування.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15.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w:t>
      </w:r>
      <w:r w:rsidRPr="00AE1D48">
        <w:rPr>
          <w:rFonts w:ascii="Arial" w:eastAsia="Times New Roman" w:hAnsi="Arial" w:cs="Arial"/>
          <w:color w:val="2A2928"/>
          <w:sz w:val="16"/>
          <w:lang w:eastAsia="ru-RU"/>
        </w:rPr>
        <w:t> </w:t>
      </w:r>
      <w:hyperlink r:id="rId28" w:tgtFrame="_top" w:history="1">
        <w:r w:rsidRPr="00AE1D48">
          <w:rPr>
            <w:rFonts w:ascii="Arial" w:eastAsia="Times New Roman" w:hAnsi="Arial" w:cs="Arial"/>
            <w:color w:val="0000FF"/>
            <w:sz w:val="16"/>
            <w:u w:val="single"/>
            <w:lang w:eastAsia="ru-RU"/>
          </w:rPr>
          <w:t>наказу Міністерства освіти і науки України від 05 травня 2015 року N 504 "Деякі питання визнання в Україні іноземних документів про освіту"</w:t>
        </w:r>
      </w:hyperlink>
      <w:r w:rsidRPr="00AE1D48">
        <w:rPr>
          <w:rFonts w:ascii="Arial" w:eastAsia="Times New Roman" w:hAnsi="Arial" w:cs="Arial"/>
          <w:color w:val="2A2928"/>
          <w:sz w:val="16"/>
          <w:szCs w:val="16"/>
          <w:lang w:eastAsia="ru-RU"/>
        </w:rPr>
        <w:t>, зареєстрованого в Міністерстві юстиції України 27 травня 2015 року за N 614/27059.</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16. Під час прийняття на навчання осіб, які подають документ про вищу духовну освіту, виданий закладом вищої духовної освіти до 01 вересня 2018 року, обов'язковим є подання свідоцтва про державне визнання документа про вищу духовну освіту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зазначених документів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w:t>
      </w:r>
      <w:r w:rsidRPr="00AE1D48">
        <w:rPr>
          <w:rFonts w:ascii="Arial" w:eastAsia="Times New Roman" w:hAnsi="Arial" w:cs="Arial"/>
          <w:color w:val="2A2928"/>
          <w:sz w:val="16"/>
          <w:lang w:eastAsia="ru-RU"/>
        </w:rPr>
        <w:t> </w:t>
      </w:r>
      <w:hyperlink r:id="rId29" w:tgtFrame="_top" w:history="1">
        <w:r w:rsidRPr="00AE1D48">
          <w:rPr>
            <w:rFonts w:ascii="Arial" w:eastAsia="Times New Roman" w:hAnsi="Arial" w:cs="Arial"/>
            <w:color w:val="0000FF"/>
            <w:sz w:val="16"/>
            <w:u w:val="single"/>
            <w:lang w:eastAsia="ru-RU"/>
          </w:rPr>
          <w:t>постановою Кабінету Міністрів України від 19 серпня 2015 року N 652</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VII. Конкурсний відбір, його організація та проведення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Конкурсний відбір на навчання для здобуття фахової передвищої освіти здійснюється за результатами вступних випробувань:</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вступу на основі базової загальної середньої освіти - у формі вступних іспитів, творчих конкурсів або співбесіди в передбачених цими Умовами випадках;</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вступу на основі повної (профільної) загальної середньої освіти - у формі зовнішнього незалежного оцінювання або вступних іспитів у будь-яких комбінаціях на власний розсуд вступника, творчих конкурсів, або співбесіди в передбачених цими Умовами випадках. У 2021 році приймаються сертифікати зовнішнього незалежного оцінювання 2018, 2019, 2020 та 2021 років;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вступу на основі освітньо-кваліфікаційного рівня кваліфікованого робітника - у формі зовнішнього незалежного оцінювання або іспиту з української мови на власний розсуд та фахових вступних випробувань;</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 інших випадках - у формах, встановлених Правилами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Конкурсний відбір проводиться на основі конкурсного бала, який розраховується відповідно до цих Умов та Правил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Для конкурсного відбору осіб, які на основі базової загальної середньої освіти вступають на навчання для здобуття 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або творчого конкурсу (другий предмет) у встановлених цими Умовами випадках.</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Для конкурсного відбору осіб, які на основі повної загальної (профільної) середньої освіти вступають на навчання для здобуття фахової передвищої освіти, зараховуються бали сертифіката(ів) зовнішнього незалежного оцінювання або результати вступних іспитів української мови (перший предмет), загальноосвітнього предмета, з якого проводиться зовнішнє незалежне оцінювання (заклад освіти може передбачити право вступника на вибір з трьох предметів), або творчого конкурсу (другий предмет) у встановлених цими Умовами випадках.</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конкурсних пропозицій спеціальностей (спеціалізацій) галузі 01 "Освіта/Педагогіка", які передбачають підготовку фахівців для шкіл з навчанням болгарською, кримськотатарською, молдовською, новогрецькою, польською, російською, румунською, словацькою, угорською мовами або вивченням цих мов, заклад освіти може до переліку предметів на вибір (другий предмет) додавати вступний іспит з відповідної мови.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Для конкурсного відбору осіб, які на основі освітньо-кваліфікаційного рівня кваліфікованого робітника вступають на навчання для здобуття фахової передвищої освіти, зараховуються результати зовнішнього незалежного оцінювання або вступного іспиту з української мови та фахового вступного випробування.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Інші вступні випробування та показники конкурсного відбору визначаються Правилами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7. Конкурсний бал (КБ) обчислюється: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для вступу на основі базової загальної середньої освіти за формулою</w:t>
      </w:r>
    </w:p>
    <w:p w:rsidR="00AE1D48" w:rsidRPr="00AE1D48" w:rsidRDefault="00AE1D48" w:rsidP="00AE1D48">
      <w:pPr>
        <w:shd w:val="clear" w:color="auto" w:fill="FFFFFF"/>
        <w:spacing w:after="0" w:line="240" w:lineRule="atLeast"/>
        <w:jc w:val="center"/>
        <w:rPr>
          <w:rFonts w:ascii="Arial" w:eastAsia="Times New Roman" w:hAnsi="Arial" w:cs="Arial"/>
          <w:color w:val="2A2928"/>
          <w:sz w:val="16"/>
          <w:szCs w:val="16"/>
          <w:lang w:eastAsia="ru-RU"/>
        </w:rPr>
      </w:pPr>
      <w:r w:rsidRPr="00AE1D48">
        <w:rPr>
          <w:rFonts w:ascii="Arial" w:eastAsia="Times New Roman" w:hAnsi="Arial" w:cs="Arial"/>
          <w:b/>
          <w:bCs/>
          <w:color w:val="2A2928"/>
          <w:sz w:val="16"/>
          <w:szCs w:val="16"/>
          <w:lang w:eastAsia="ru-RU"/>
        </w:rPr>
        <w:t>КБ = П1 + П2 + А + ОУ,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де П1 - оцінка вступного іспиту з української мови;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П2 - оцінка вступного іспиту або творчого конкурсу (або сумарна оцінка двох турів творчого конкурсу за умови їх проведення) з другого предмета;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А - середній бал документа про базову загальну середню освіту, переведений в шкалу від 100 до 200 балів відповідно до Таблиці переведення середнього бала документа про середню освіту, обрахованого за 12-бальною шкалою, у шкалу 100 - 200 (додаток 2 до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ОУ - бал за успішне закінчення підготовчих курсів навчального закладу для вступу до нього за шкалою від 0 до 50 балів.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Оцінки вступних іспитів виставляються за шкалою 100 - 200.</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Призерам (особам, нагородженим дипломами I - III ступенів) IV етапу Всеукраїнських учнівських олімпіад 2021 року з базових предметів, за умови їх проведення, останній доданок встановлюється рівним 50. Інформацію про них приймальні комісії отримують з ЄДЕБО.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осіб, зареєстрованих у селах, та які здобули у рік вступу базову середню освіту у закладах освіти, що знаходяться на території сіл, конкурсний бал множиться на сільський (СК) коефіцієнт. СК дорівнює 1,05.</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СК для осіб, що є внутрішньо переміщеними особами та проживають у селі без реєстрації, не застосовується.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для вступу на основі повної загальної (профільної) середньої освіти за формулою</w:t>
      </w:r>
    </w:p>
    <w:p w:rsidR="00AE1D48" w:rsidRPr="00AE1D48" w:rsidRDefault="00AE1D48" w:rsidP="00AE1D48">
      <w:pPr>
        <w:shd w:val="clear" w:color="auto" w:fill="FFFFFF"/>
        <w:spacing w:after="0" w:line="240" w:lineRule="atLeast"/>
        <w:jc w:val="center"/>
        <w:rPr>
          <w:rFonts w:ascii="Arial" w:eastAsia="Times New Roman" w:hAnsi="Arial" w:cs="Arial"/>
          <w:color w:val="2A2928"/>
          <w:sz w:val="16"/>
          <w:szCs w:val="16"/>
          <w:lang w:eastAsia="ru-RU"/>
        </w:rPr>
      </w:pPr>
      <w:r w:rsidRPr="00AE1D48">
        <w:rPr>
          <w:rFonts w:ascii="Arial" w:eastAsia="Times New Roman" w:hAnsi="Arial" w:cs="Arial"/>
          <w:b/>
          <w:bCs/>
          <w:color w:val="2A2928"/>
          <w:sz w:val="16"/>
          <w:szCs w:val="16"/>
          <w:lang w:eastAsia="ru-RU"/>
        </w:rPr>
        <w:t>КБ = П1 + П2 + А + ОУ,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де П1 -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і літератури. У 2021 році приймаються сертифікати зовнішнього незалежного оцінювання 2018, 2019, 2020 та 2021 років;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П2 - оцінка вступного іспиту або творчого конкурсу (або сумарна оцінка двох турів творчого конкурсу за умови їх проведення) з другого предмета;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lastRenderedPageBreak/>
        <w:t>А - середній бал документа про повну загальну (профільну) середню освіту, переведений в шкалу від 100 до 200 балів відповідно до Таблиці переведення середнього бала документа про середню освіту, обрахованого за 12-бальною шкалою, у шкалу 100 - 200 (додаток 2);</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ОУ - бал за успішне закінчення підготовчих курсів закладу освіти для вступу до нього за шкалою від 0 до 50 балів.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Результати вступних іспитів та творчих конкурсів для вступників на основі повної загальної середньої освіти оцінюються за шкалою від 100 до 200 балів.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Дефлімпійських іграх (за поданням Міністерства молоді та спорту України), зараховується оцінка 200 балів з другого вступного випробування.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Якщо КБ вступника при цьому перевищує 650, він встановлюється таким, що дорівнює 650 (у разі проведення творчих конкурсів у два тури - 850).</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осіб, зареєстрованих у селах, та які здобули у рік вступу повну загальну середню освіту у закладах освіти, що знаходяться на території сіл, конкурсний бал множиться на СК. СК дорівнює 1,05.</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СК для осіб, що є внутрішньо переміщеними особами та проживають у селі без реєстрації, не застосовується.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Приймальна комісія здійснює перевірку відповідності довідки додатку 13 до Правил реєстрації місця проживання та Порядку передачі органами реєстрації інформації до Єдиного державного демографічного реєстру, затвердженого</w:t>
      </w:r>
      <w:r w:rsidRPr="00AE1D48">
        <w:rPr>
          <w:rFonts w:ascii="Arial" w:eastAsia="Times New Roman" w:hAnsi="Arial" w:cs="Arial"/>
          <w:color w:val="2A2928"/>
          <w:sz w:val="16"/>
          <w:lang w:eastAsia="ru-RU"/>
        </w:rPr>
        <w:t> </w:t>
      </w:r>
      <w:hyperlink r:id="rId30" w:tgtFrame="_top" w:history="1">
        <w:r w:rsidRPr="00AE1D48">
          <w:rPr>
            <w:rFonts w:ascii="Arial" w:eastAsia="Times New Roman" w:hAnsi="Arial" w:cs="Arial"/>
            <w:color w:val="0000FF"/>
            <w:sz w:val="16"/>
            <w:u w:val="single"/>
            <w:lang w:eastAsia="ru-RU"/>
          </w:rPr>
          <w:t>постановою Кабінету Міністрів України від 02 березня 2016 року N 207</w:t>
        </w:r>
      </w:hyperlink>
      <w:r w:rsidRPr="00AE1D48">
        <w:rPr>
          <w:rFonts w:ascii="Arial" w:eastAsia="Times New Roman" w:hAnsi="Arial" w:cs="Arial"/>
          <w:color w:val="2A2928"/>
          <w:sz w:val="16"/>
          <w:szCs w:val="16"/>
          <w:lang w:eastAsia="ru-RU"/>
        </w:rPr>
        <w:t>,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відповідної довідки на підставі його сканованої копії (фотокопії).</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для вступу на основі освітньо-кваліфікаційного рівня кваліфікованого робітника за формулою</w:t>
      </w:r>
    </w:p>
    <w:p w:rsidR="00AE1D48" w:rsidRPr="00AE1D48" w:rsidRDefault="00AE1D48" w:rsidP="00AE1D48">
      <w:pPr>
        <w:shd w:val="clear" w:color="auto" w:fill="FFFFFF"/>
        <w:spacing w:after="0" w:line="240" w:lineRule="atLeast"/>
        <w:jc w:val="center"/>
        <w:rPr>
          <w:rFonts w:ascii="Arial" w:eastAsia="Times New Roman" w:hAnsi="Arial" w:cs="Arial"/>
          <w:color w:val="2A2928"/>
          <w:sz w:val="16"/>
          <w:szCs w:val="16"/>
          <w:lang w:eastAsia="ru-RU"/>
        </w:rPr>
      </w:pPr>
      <w:r w:rsidRPr="00AE1D48">
        <w:rPr>
          <w:rFonts w:ascii="Arial" w:eastAsia="Times New Roman" w:hAnsi="Arial" w:cs="Arial"/>
          <w:b/>
          <w:bCs/>
          <w:color w:val="2A2928"/>
          <w:sz w:val="16"/>
          <w:szCs w:val="16"/>
          <w:lang w:eastAsia="ru-RU"/>
        </w:rPr>
        <w:t>КБ = П1 + П2 + ОУ,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де П1 -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і літератури.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2021 році приймаються сертифікати зовнішнього незалежного оцінювання 2018, 2019, 2020 та 2021 років;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П2 - оцінка фахового вступного випробування;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ОУ - бал призерам III етапу Всеукраїнських конкурсів фахової майстерності серед учнів закладів професійної (професійно-технічної) освіти з професій. Оцінки вступних іспитів виставляються за шкалою 100 - 200.</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Призерам (особам, нагородженим дипломами I - III ступенів) III етапу Всеукраїнських конкурсів фахової майстерності серед учнів закладів професійної (професійно-технічної) освіти з професій 2021 року, за умови їх проведення, останній доданок встановлюється рівним 100.</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8. В інших випадках конкурсний бал розраховується як сума балів за вступні випробування та інші показники конкурсного відбору відповідно до Правил прийому з урахуванням права на першочергове зарахування (шляхом множення конкурсного бала на коефіцієнт 1,05) до медичних, педагогічних і мистецьких закладів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9. Оцінки з документа про базову або повну загальну середню освіту, які виставлені за 5-бальною шкалою, враховуються так: "3" відповідає "6", "4" відповідає "9", "5" відповідає "12". У разі відсутності з об'єктивних причин додатка до документа про базову або повну загальну (профільну) середню освіту його середній бал за 12-бальною шкалою вважається таким, що дорівнює 2.</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10. У разі відсутності з об'єктивних причин додатка до документа про здобутий освітній (освітньо-кваліфікаційний рівень), ступінь вищої освіти його середній бал вважається таким, що відповідає мінімальному можливому значенню.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11. Заклад освіти у Правилах прийому самостійно визначає мінімальне значення кількості балів з вступних випробувань, з якими вступник допускається до участі у конкурсі.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12. Оцінка за творчий конкурс обчислюється як сума отриманих балів за кожний тур конкурсу, яких не може бути більше двох. Вступники, які отримали оцінку нижче мінімально встановленого приймальною комісією бала на одному з них, не допускаються до участі у наступному турі творчого конкурсу та конкурсному відборі на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13. Програми вступних іспитів та співбесід затверджують голови приймальних комісій закладів освіти не пізніше ніж 31 березня відповідного року вступної кампанії.</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Вступні іспити для вступників на основі повної загальної середньої освіти проводяться за програмами зовнішнього незалежного оцінювання на основі повної загальної середньої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Програми творчих конкурсів розробляються і затверджуються головами приймальних комісій закладів освіти не пізніше ніж 31 березня відповідного року вступної кампанії. Не допускається введення до творчих конкурсів завдань, що виходять за межі зазначених програм.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Програми співбесід, вступних іспитів, фахових випробувань та творчих конкурсів обов'язково оприлюднюються на вебсайтах (вебсторінках) закладів освіти. У програмах мають міститися критерії оцінювання підготовленості вступників.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Форму проведення вступних іспитів та творчих конкурсів заклад обирає самостійно з урахуванням необхідності створення безпечних і нешкідливих умов та дотриманням медико-санітарних вимог.</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14.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15. Апеляції на результати вступних випробувань, проведені закладом освіти, розглядає апеляційна комісія цього закладу освіти, склад та порядок роботи якої затверджуються наказом закладу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16. Відомості щодо результатів вступних випробувань та інших конкурсних показників вносяться до ЄДЕБО. У разі зміни балів з конкурсних предметів сертифікатів зовнішнього незалежного оцінювання за результатами апеляцій приймальні комісії після відповідного повідомлення ЄДЕБО вносять відповідні зміни в документацію, перераховують конкурсний бал.</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17. Офіційне оголошення результатів творчих конкурсів на місця державного та регіонального замовлення, включаючи оцінки окремих турів творчих конкурсів та інформацію про досягнення мінімального прохідного бала, здійснюється шляхом розміщення відповідних відомостей на офіційних вебсайтах (вебсторінках) закладів освіти та вноситься до ЄДЕБО не пізніше наступного дня після їх проведення.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lastRenderedPageBreak/>
        <w:t>18.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освіти.</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VIII. Спеціальні умови участі в конкурсному відборі для здобуття освітньо-професійного ступеня фахового молодшого бакалавра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Спеціальними умовами участі у конкурсному відборі під час вступу для здобуття фахової передвищої освіти є:</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зарахування за співбесідою;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участь у конкурсному відборі за квотою-1, квотою-2.</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Спеціальними умовами на здобуття фахової передвищої освіти за кошти державного або місцевого бюджету (за державним (регіональним) замовленням) є:</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зарахування за результатами співбесіди, квотою-1 або квотою-2 на місця державного або регіонального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переведення на вакантні місця державного або регіонального замовлення осіб у порядку, передбаченому цими Умовами, якщо вони зараховані на навчання за іншими джерелами фінансування на основну конкурсну пропозицію;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Проходять вступні випробування у формі співбесіди та в разі позитивного висновку про проходження співбесіди рекомендуються до зарахування: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з інвалідністю внаслідок війни відповідно до</w:t>
      </w:r>
      <w:r w:rsidRPr="00AE1D48">
        <w:rPr>
          <w:rFonts w:ascii="Arial" w:eastAsia="Times New Roman" w:hAnsi="Arial" w:cs="Arial"/>
          <w:color w:val="2A2928"/>
          <w:sz w:val="16"/>
          <w:lang w:eastAsia="ru-RU"/>
        </w:rPr>
        <w:t> </w:t>
      </w:r>
      <w:hyperlink r:id="rId31" w:tgtFrame="_top" w:history="1">
        <w:r w:rsidRPr="00AE1D48">
          <w:rPr>
            <w:rFonts w:ascii="Arial" w:eastAsia="Times New Roman" w:hAnsi="Arial" w:cs="Arial"/>
            <w:color w:val="0000FF"/>
            <w:sz w:val="16"/>
            <w:u w:val="single"/>
            <w:lang w:eastAsia="ru-RU"/>
          </w:rPr>
          <w:t>пунктів 10 - 14 статті 7 Закону України "Про статус ветеранів війни, гарантії їх соціального захисту"</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яким</w:t>
      </w:r>
      <w:r w:rsidRPr="00AE1D48">
        <w:rPr>
          <w:rFonts w:ascii="Arial" w:eastAsia="Times New Roman" w:hAnsi="Arial" w:cs="Arial"/>
          <w:color w:val="2A2928"/>
          <w:sz w:val="16"/>
          <w:lang w:eastAsia="ru-RU"/>
        </w:rPr>
        <w:t> </w:t>
      </w:r>
      <w:hyperlink r:id="rId32" w:tgtFrame="_top" w:history="1">
        <w:r w:rsidRPr="00AE1D48">
          <w:rPr>
            <w:rFonts w:ascii="Arial" w:eastAsia="Times New Roman" w:hAnsi="Arial" w:cs="Arial"/>
            <w:color w:val="0000FF"/>
            <w:sz w:val="16"/>
            <w:u w:val="single"/>
            <w:lang w:eastAsia="ru-RU"/>
          </w:rPr>
          <w:t>Законом України "Про статус і соціальний захист громадян, які постраждали внаслідок Чорнобильської катастрофи"</w:t>
        </w:r>
      </w:hyperlink>
      <w:r w:rsidRPr="00AE1D48">
        <w:rPr>
          <w:rFonts w:ascii="Arial" w:eastAsia="Times New Roman" w:hAnsi="Arial" w:cs="Arial"/>
          <w:color w:val="2A2928"/>
          <w:sz w:val="16"/>
          <w:lang w:eastAsia="ru-RU"/>
        </w:rPr>
        <w:t> </w:t>
      </w:r>
      <w:r w:rsidRPr="00AE1D48">
        <w:rPr>
          <w:rFonts w:ascii="Arial" w:eastAsia="Times New Roman" w:hAnsi="Arial" w:cs="Arial"/>
          <w:color w:val="2A2928"/>
          <w:sz w:val="16"/>
          <w:szCs w:val="16"/>
          <w:lang w:eastAsia="ru-RU"/>
        </w:rPr>
        <w:t>надане право на прийом без екзаменів до державних закладів вищої освіти за результатами співбесіди;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Якщо такі особи рекомендовані до зарахування на основну конкурсну пропозицію, вони зараховуються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Можуть брати участь у конкурсному відборі в межах квоти-1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якщо допущені до конкурсного відбору на основну конкурсну пропозицію: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визнані постраждалими учасниками Революції Гідності, учасниками бойових дій відповідно до</w:t>
      </w:r>
      <w:r w:rsidRPr="00AE1D48">
        <w:rPr>
          <w:rFonts w:ascii="Arial" w:eastAsia="Times New Roman" w:hAnsi="Arial" w:cs="Arial"/>
          <w:color w:val="2A2928"/>
          <w:sz w:val="16"/>
          <w:lang w:eastAsia="ru-RU"/>
        </w:rPr>
        <w:t> </w:t>
      </w:r>
      <w:hyperlink r:id="rId33" w:tgtFrame="_top" w:history="1">
        <w:r w:rsidRPr="00AE1D48">
          <w:rPr>
            <w:rFonts w:ascii="Arial" w:eastAsia="Times New Roman" w:hAnsi="Arial" w:cs="Arial"/>
            <w:color w:val="0000FF"/>
            <w:sz w:val="16"/>
            <w:u w:val="single"/>
            <w:lang w:eastAsia="ru-RU"/>
          </w:rPr>
          <w:t>Закону України "Про статус ветеранів війни, гарантії їх соціального захисту"</w:t>
        </w:r>
      </w:hyperlink>
      <w:r w:rsidRPr="00AE1D48">
        <w:rPr>
          <w:rFonts w:ascii="Arial" w:eastAsia="Times New Roman" w:hAnsi="Arial" w:cs="Arial"/>
          <w:color w:val="2A2928"/>
          <w:sz w:val="16"/>
          <w:szCs w:val="16"/>
          <w:lang w:eastAsia="ru-RU"/>
        </w:rPr>
        <w:t>,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діти-сироти, діти, позбавлені батьківського піклування, особи з їх числа;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яким за рішенням регламентної комісії при регіональному центрі оцінювання якості освіти відмовлено в реєстрації для участі в 2021 році в зовнішньому незалежному оцінюванні через неможливість створення особливих (спеціальних) умов (за умови подання до приймальної комісії закладу освіти копії медичного висновку за формою первинної облікової документації N 086-3/о "Медичний висновок про створення особливих (спеціальних) умов для проходження зовнішнього незалежного оцінювання", затвердженою</w:t>
      </w:r>
      <w:r w:rsidRPr="00AE1D48">
        <w:rPr>
          <w:rFonts w:ascii="Arial" w:eastAsia="Times New Roman" w:hAnsi="Arial" w:cs="Arial"/>
          <w:color w:val="2A2928"/>
          <w:sz w:val="16"/>
          <w:lang w:eastAsia="ru-RU"/>
        </w:rPr>
        <w:t> </w:t>
      </w:r>
      <w:hyperlink r:id="rId34" w:tgtFrame="_top" w:history="1">
        <w:r w:rsidRPr="00AE1D48">
          <w:rPr>
            <w:rFonts w:ascii="Arial" w:eastAsia="Times New Roman" w:hAnsi="Arial" w:cs="Arial"/>
            <w:color w:val="0000FF"/>
            <w:sz w:val="16"/>
            <w:u w:val="single"/>
            <w:lang w:eastAsia="ru-RU"/>
          </w:rPr>
          <w:t>наказом Міністерства освіти і науки України, Міністерства охорони здоров'я України від 29 серпня 2016 року N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w:t>
        </w:r>
      </w:hyperlink>
      <w:r w:rsidRPr="00AE1D48">
        <w:rPr>
          <w:rFonts w:ascii="Arial" w:eastAsia="Times New Roman" w:hAnsi="Arial" w:cs="Arial"/>
          <w:color w:val="2A2928"/>
          <w:sz w:val="16"/>
          <w:szCs w:val="16"/>
          <w:lang w:eastAsia="ru-RU"/>
        </w:rPr>
        <w:t>, зареєстрованим в Міністерстві юстиції України 27 грудня 2016 року за N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мають захворювання або патологічний стан, зазначений в Переліку захворювань та патологічних станів, що можуть бути перешкодою для проходження зовнішнього незалежного оцінювання, затвердженому</w:t>
      </w:r>
      <w:r w:rsidRPr="00AE1D48">
        <w:rPr>
          <w:rFonts w:ascii="Arial" w:eastAsia="Times New Roman" w:hAnsi="Arial" w:cs="Arial"/>
          <w:color w:val="2A2928"/>
          <w:sz w:val="16"/>
          <w:lang w:eastAsia="ru-RU"/>
        </w:rPr>
        <w:t> </w:t>
      </w:r>
      <w:hyperlink r:id="rId35" w:tgtFrame="_top" w:history="1">
        <w:r w:rsidRPr="00AE1D48">
          <w:rPr>
            <w:rFonts w:ascii="Arial" w:eastAsia="Times New Roman" w:hAnsi="Arial" w:cs="Arial"/>
            <w:color w:val="0000FF"/>
            <w:sz w:val="16"/>
            <w:u w:val="single"/>
            <w:lang w:eastAsia="ru-RU"/>
          </w:rPr>
          <w:t>наказом Міністерства освіти і науки України, Міністерства охорони здоров'я України від 29 серпня 2016 року N 1027/900</w:t>
        </w:r>
      </w:hyperlink>
      <w:r w:rsidRPr="00AE1D48">
        <w:rPr>
          <w:rFonts w:ascii="Arial" w:eastAsia="Times New Roman" w:hAnsi="Arial" w:cs="Arial"/>
          <w:color w:val="2A2928"/>
          <w:sz w:val="16"/>
          <w:szCs w:val="16"/>
          <w:lang w:eastAsia="ru-RU"/>
        </w:rPr>
        <w:t>, зареєстрованому в Міністерстві юстиції України 27 грудня 2016 року за N 1707/29837 (за умови подання до приймальної комісії закладу вищої освіти одного з документів, зазначених у</w:t>
      </w:r>
      <w:r w:rsidRPr="00AE1D48">
        <w:rPr>
          <w:rFonts w:ascii="Arial" w:eastAsia="Times New Roman" w:hAnsi="Arial" w:cs="Arial"/>
          <w:color w:val="2A2928"/>
          <w:sz w:val="16"/>
          <w:lang w:eastAsia="ru-RU"/>
        </w:rPr>
        <w:t> </w:t>
      </w:r>
      <w:hyperlink r:id="rId36" w:tgtFrame="_top" w:history="1">
        <w:r w:rsidRPr="00AE1D48">
          <w:rPr>
            <w:rFonts w:ascii="Arial" w:eastAsia="Times New Roman" w:hAnsi="Arial" w:cs="Arial"/>
            <w:color w:val="0000FF"/>
            <w:sz w:val="16"/>
            <w:u w:val="single"/>
            <w:lang w:eastAsia="ru-RU"/>
          </w:rPr>
          <w:t>підпункті 1 пункту 2 наказу Міністерства освіти і науки України, Міністерства охорони здоров'я України від 29 серпня 2016 року N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w:t>
        </w:r>
      </w:hyperlink>
      <w:r w:rsidRPr="00AE1D48">
        <w:rPr>
          <w:rFonts w:ascii="Arial" w:eastAsia="Times New Roman" w:hAnsi="Arial" w:cs="Arial"/>
          <w:color w:val="2A2928"/>
          <w:sz w:val="16"/>
          <w:szCs w:val="16"/>
          <w:lang w:eastAsia="ru-RU"/>
        </w:rPr>
        <w:t>, зареєстрованого в Міністерстві юстиції України 27 грудня 2016 року за N 1707/29837, або копії такого документа).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Можуть брати участь у конкурсному відборі в межах квоти-2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та в разі отримання кількості балів за кожний з них не менше встановленого закладом освіти мінімального рівня до участі в конкурсному відборі: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2021 року.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Такі особи беруть участь у конкурсному відборі за результатами вступних іспитів через один із Освітніх центрів "Донбас-Україна" або "Крим-Україна" (з урахуванням особливостей проходження державної підсумкової атестації в Освітніх центрах "Крим-Україна", "Донбас-Україна",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та за рахунок цільових пільгових державних кредитів відповідно до пунктів другого-четвертого цього розділу, і не були зараховані на місця державного (регіонального) замовлення, мають право брати участь у конкурсі на загальних засадах відповідно до конкурсного бала.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 xml:space="preserve">діти,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w:t>
      </w:r>
      <w:r w:rsidRPr="00AE1D48">
        <w:rPr>
          <w:rFonts w:ascii="Arial" w:eastAsia="Times New Roman" w:hAnsi="Arial" w:cs="Arial"/>
          <w:color w:val="2A2928"/>
          <w:sz w:val="16"/>
          <w:szCs w:val="16"/>
          <w:lang w:eastAsia="ru-RU"/>
        </w:rPr>
        <w:lastRenderedPageBreak/>
        <w:t>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діти осіб, які загинули або померли внаслідок поранень, каліцтва, контузії чи інших ушкоджень здоров'я, одержаних під час участі у Революції Гідності;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діти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7.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з інвалідністю I, II груп та діти з інвалідністю віком до 18 років, яким не протипоказане навчання за обраною спеціальністю;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діти осіб, визнаних постраждалими учасниками Революції Гідності, учасниками бойових дій, особами з інвалідністю внаслідок війни відповідно до</w:t>
      </w:r>
      <w:r w:rsidRPr="00AE1D48">
        <w:rPr>
          <w:rFonts w:ascii="Arial" w:eastAsia="Times New Roman" w:hAnsi="Arial" w:cs="Arial"/>
          <w:color w:val="2A2928"/>
          <w:sz w:val="16"/>
          <w:lang w:eastAsia="ru-RU"/>
        </w:rPr>
        <w:t> </w:t>
      </w:r>
      <w:hyperlink r:id="rId37" w:tgtFrame="_top" w:history="1">
        <w:r w:rsidRPr="00AE1D48">
          <w:rPr>
            <w:rFonts w:ascii="Arial" w:eastAsia="Times New Roman" w:hAnsi="Arial" w:cs="Arial"/>
            <w:color w:val="0000FF"/>
            <w:sz w:val="16"/>
            <w:u w:val="single"/>
            <w:lang w:eastAsia="ru-RU"/>
          </w:rPr>
          <w:t>Закону України "Про статус ветеранів війни, гарантії їх соціального захисту"</w:t>
        </w:r>
      </w:hyperlink>
      <w:r w:rsidRPr="00AE1D48">
        <w:rPr>
          <w:rFonts w:ascii="Arial" w:eastAsia="Times New Roman" w:hAnsi="Arial" w:cs="Arial"/>
          <w:color w:val="2A2928"/>
          <w:sz w:val="16"/>
          <w:szCs w:val="16"/>
          <w:lang w:eastAsia="ru-RU"/>
        </w:rPr>
        <w:t>;</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відповідно до пунктів другого-п'ятого цього розділу, і не були зараховані на місця державного (регіонального) замовлення (крім випадку, коли у відповідних заявах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8.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 а також на місця за рахунок цільових пільгових державних кредитів (пільгових довгострокових кредитів) осіб у порядку, передбаченому законодавством, якщо вони зараховані на навчання за рахунок коштів фізичних або юридичних осіб:</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є внутрішньо переміщеними особами відповідно до</w:t>
      </w:r>
      <w:r w:rsidRPr="00AE1D48">
        <w:rPr>
          <w:rFonts w:ascii="Arial" w:eastAsia="Times New Roman" w:hAnsi="Arial" w:cs="Arial"/>
          <w:color w:val="2A2928"/>
          <w:sz w:val="16"/>
          <w:lang w:eastAsia="ru-RU"/>
        </w:rPr>
        <w:t> </w:t>
      </w:r>
      <w:hyperlink r:id="rId38" w:tgtFrame="_top" w:history="1">
        <w:r w:rsidRPr="00AE1D48">
          <w:rPr>
            <w:rFonts w:ascii="Arial" w:eastAsia="Times New Roman" w:hAnsi="Arial" w:cs="Arial"/>
            <w:color w:val="0000FF"/>
            <w:sz w:val="16"/>
            <w:u w:val="single"/>
            <w:lang w:eastAsia="ru-RU"/>
          </w:rPr>
          <w:t>Закону України "Про забезпечення прав і свобод внутрішньо переміщених осіб"</w:t>
        </w:r>
      </w:hyperlink>
      <w:r w:rsidRPr="00AE1D48">
        <w:rPr>
          <w:rFonts w:ascii="Arial" w:eastAsia="Times New Roman" w:hAnsi="Arial" w:cs="Arial"/>
          <w:color w:val="2A2928"/>
          <w:sz w:val="16"/>
          <w:szCs w:val="16"/>
          <w:lang w:eastAsia="ru-RU"/>
        </w:rPr>
        <w:t>, а також діти, які проживають у населених пунктах на лінії зіткнення;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діти з багатодітних сімей (п'ять і більше дітей).</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IX. Рейтингові списки вступників та рекомендації до зарахування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Рейтинговий список вступників формується за категоріями в такій послідовності: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вступники, які мають право на зарахування за результатами співбесіди;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вступники, які мають право на зарахування за квотами;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вступники, які мають право на першочергове зарахування;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вступники, які мають право на зарахування на загальних умовах.</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Список вступників, які мають право на зарахування за результатами співбесіди, впорядковується за алфавітом.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межах інших зазначених у пункті 1 цього розділу категорій рейтинговий список вступників впорядковується: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конкурсним балом від більшого до меншого;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середнім балом додатка до документа про здобутий освітній (освітньо-кваліфікаційний) рівень, ступінь вищої освіти від більшого до меншого;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 оцінкою зовнішнього незалежного оцінювання або вступних іспитів з першого конкурсного предмета від більшого до меншого (для вступників на основі повної загальної середньої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Якщо встановлені в третьому-п'ятому абзацах цього пункту додаткові правила не дають змоги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У рейтинговому списку вступників зазначаються: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прізвище, ім'я, по батькові (за наявності) вступника;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конкурсний бал вступника (крім зарахованих за співбесідою);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ознака підстав для зарахування за результатами співбесіди, за квотою-1, квотою-2, квотою-4, квотою для іноземців;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освітньо-професійний ступінь, спеціальність, назва конкурсної пропозиції, форма здобуття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середній бал додатка до документа про здобутий освітній (освітньо-кваліфікаційний) рівень, ступінь 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Прізвища вступників,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2021 року, підлягають шифруванню у всіх інформаційних системах.</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Рейтингові списки формуються приймальною комісією з ЄДЕБО та оприлюднюються у повному обсязі на офіційному вебсайті закладу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 xml:space="preserve">5. Списки вступників, рекомендованих до зарахування за кошти державного або регіонального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w:t>
      </w:r>
      <w:r w:rsidRPr="00AE1D48">
        <w:rPr>
          <w:rFonts w:ascii="Arial" w:eastAsia="Times New Roman" w:hAnsi="Arial" w:cs="Arial"/>
          <w:color w:val="2A2928"/>
          <w:sz w:val="16"/>
          <w:szCs w:val="16"/>
          <w:lang w:eastAsia="ru-RU"/>
        </w:rPr>
        <w:lastRenderedPageBreak/>
        <w:t>комісії, оприлюднюються шляхом розміщення на інформаційних стендах приймальних комісій та вебсайті закладу освіти відповідно до строків, визначених у розділі VI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7. Офіційним повідомленням про надання рекомендацій до зарахування вважається оприлюднення відповідного рішення на стендах приймальних комісій закладів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Рішення приймальної комісії про рекомендування до зарахування розміщується на вебсайті закладу освіти, а також відображається у кабінеті вступника в ЄДЕБО (за наявності).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X. Реалізація права вступників на обрання місця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ступінь вищої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освіти. Подані оригінали документів зберігаються у закладі освіти протягом усього періоду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Підставою для зарахування особи на навчання є виконання вимог Умов прийому на навчання для здобуття фахової передвищої освіти,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Подання оригіналів необхідних документів для зарахування на місця державного та регіонального замовлення може здійснюватися, крім особистого подання, шляхом: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 Дату подання документів визначають за відтиском штемпеля відправлення на поштовому конверті;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надсилання їх сканованих копій, з накладанням на відповідні файли кваліфікованого електронного підпису вступника, через електронний кабінет вступника.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таких випадках договір про навчання між закладом вищої освіти та вступником (за участі батьків або законних представників - для неповнолітніх вступників) укладається впродовж 10 робочих днів від дати початку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подали заяви в електронній формі, крім того, зобов'язані підписати власну заяву, роздруковану приймальною комісією.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Особи, які були рекомендовані до зарахування на місця державного або регіонального замовлення за певною конкурсною пропозицією і не виконали вимог до зарахування у строки, визначені в розділі V цих Умов, втрачають право в поточному році на зарахування на навчання за державним або регіональним замовленням за цією конкурсною пропозицією, крім випадків, визначених у розділі XIII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отримали рекомендацію до зарахування на місця державного або регіонального замовлення і в установлені строки, визначені у розділі VI цих Умов або відповідно до нього, виконали вимоги для зарахування на бюджетні місця, підлягають зарахуванню.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Порядок реалізації права вступників на обрання місця навчання за кошти фізичних, юридичних осіб визначається Правилами прийому.</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XI. Коригування списку рекомендованих до зарахування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Приймальна комісія анулює раніше надані рекомендації вступникам, які не виконали вимог для зарахування на місця державного замовлення, передбачених у розділі X цих Умов і надає рекомендації вступникам, наступним за рейтинговим списком.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Вступники, рекомендовані на навчання за кошти фізичних та/або юридичних осіб, зобов'язані виконати вимоги для зарахування відповідно до розділу X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двох тижнів з дати видання наказу про зарахування, наказ про зарахування цієї особи скасовується.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впродовж двох тижнів після початку навчання, то цей наказ скасовується в частині зарахування такої особи.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Оплата навчання здійснюється згідно з договором, укладеним сторонами.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Порядок коригування списку рекомендованих до зарахування на місця за кошти фізичних або юридичних осіб визначається Правилами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освітній (освітньо-кваліфікаційний) рівень, ступінь вищої освіти, додатка до нього державного зразка, а також оригінали сертифікатів зовнішнього незалежного оцінювання зберігаються у закладі освіти за місцем навчання за державним замовленням або за рахунок цільових пільгових державних кредитів протягом усього строку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освіти на вибір студента протягом усього строку навчання. Довідка про зберігання оригіналів документів видається на вимогу студента закладом освіти, у якому вони зберігаються.</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XII. Переведення на вакантні місця державного замовлення осіб, які зараховані на навчання за кошти фізичних, юридичних осіб</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 7 - 9 розділу IX цих Умов, та анулює їх в порядку, визначеному пунктом 2 розділу XI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lastRenderedPageBreak/>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зазначені в пункті 6 розділу VIII цих Умов, незалежно від конкурсного бала;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зазначені в пункті 7 розділу VIII цих Умов, якщо отриманий ними конкурсний бал менший від прохідного бала (мінімального бала,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пунктами 7 - 10 розділу VIII цих Умов) не більше ніж на 30 балів;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зазначені в пункті 8 розділу VIII цих Умов, у разі, якщо отриманий ними конкурсний бал менший від прохідного бала не більше ніж на 30 балів;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особи, які не отримали рекомендацію для зарахування на місця державного (регіонального) замовлення в порядку, передбаченому пунктом 5 розділу IX цих Умов, за спеціальностями, які зазначені в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Переведення на вакантні місця державного (регіонального) замовлення осіб, зазначених в абзацах другому - четвертому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 разі відсутності достатньої кількості місць для переведення на вакантні місця державного замовлення осіб, зазначених в абзацах другому - четвертому цього пункту, заклад освіти використовує для цього вакантні місця державного замовлення з інших спеціальностей цієї галузі, а при їх відсутності - інших галузей знань, цієї або іншої форми здобуття освіти (після переведення на вакантні місця державного замовлення осіб, зазначених в абзацах другому - п'ятому цього пункту за відповідною спеціальністю та формою здобуття освіти), про що негайно ставить до відома відповідного державного замовника.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Невикористані після цього місця державного (регіонального) замовлення вважаються такими, що не розміщені в цьому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другому цього пункту, заклад освіти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XIII. Наказ про зарахування, додатковий конкурс, зарахування за рахунок цільового пільгового державного кредиту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Накази про зарахування на навчання видаються керівником закладу освіти,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(вебсторінці) закладу освіти у вигляді списку зарахованих у строки, визначені розділом V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Рішення приймальної комісії про зарахування вступника скасовується приймальною комісією у разі виявлення порушень з боку вступника, визначених пунктом 5 розділу XVI цих Умов.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Зараховані особи можуть бути виключені з наказу про зарахування (до наказу про зарахування вносяться зміни, що стосуються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керівника закладу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На звільнене(і) в порядку, передбаченому пунктами 2, 3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закладу освіти за умови збігу конкурсних предметів шляхом перенесення заяви (за згодою особи) на іншу конкурсну пропозицію.</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Додатковий конкурсний відбір проводиться до 15 вересня. При цьому накази про зарахування таких осіб формуються і подаються до ЄДЕБО до 18:00 год 19 вересня.</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XIV. Особливості прийому на навчання іноземців та осіб без громадянства до закладів фахової передвищої освіти України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Підготовка іноземців та осіб без громадянства здійснюється згідно із</w:t>
      </w:r>
      <w:r w:rsidRPr="00AE1D48">
        <w:rPr>
          <w:rFonts w:ascii="Arial" w:eastAsia="Times New Roman" w:hAnsi="Arial" w:cs="Arial"/>
          <w:color w:val="2A2928"/>
          <w:sz w:val="16"/>
          <w:lang w:eastAsia="ru-RU"/>
        </w:rPr>
        <w:t> </w:t>
      </w:r>
      <w:hyperlink r:id="rId39" w:tgtFrame="_top" w:history="1">
        <w:r w:rsidRPr="00AE1D48">
          <w:rPr>
            <w:rFonts w:ascii="Arial" w:eastAsia="Times New Roman" w:hAnsi="Arial" w:cs="Arial"/>
            <w:color w:val="0000FF"/>
            <w:sz w:val="16"/>
            <w:u w:val="single"/>
            <w:lang w:eastAsia="ru-RU"/>
          </w:rPr>
          <w:t>Законами України "Про освіту"</w:t>
        </w:r>
      </w:hyperlink>
      <w:r w:rsidRPr="00AE1D48">
        <w:rPr>
          <w:rFonts w:ascii="Arial" w:eastAsia="Times New Roman" w:hAnsi="Arial" w:cs="Arial"/>
          <w:color w:val="2A2928"/>
          <w:sz w:val="16"/>
          <w:szCs w:val="16"/>
          <w:lang w:eastAsia="ru-RU"/>
        </w:rPr>
        <w:t>,</w:t>
      </w:r>
      <w:r w:rsidRPr="00AE1D48">
        <w:rPr>
          <w:rFonts w:ascii="Arial" w:eastAsia="Times New Roman" w:hAnsi="Arial" w:cs="Arial"/>
          <w:color w:val="2A2928"/>
          <w:sz w:val="16"/>
          <w:lang w:eastAsia="ru-RU"/>
        </w:rPr>
        <w:t> </w:t>
      </w:r>
      <w:hyperlink r:id="rId40" w:tgtFrame="_top" w:history="1">
        <w:r w:rsidRPr="00AE1D48">
          <w:rPr>
            <w:rFonts w:ascii="Arial" w:eastAsia="Times New Roman" w:hAnsi="Arial" w:cs="Arial"/>
            <w:color w:val="0000FF"/>
            <w:sz w:val="16"/>
            <w:u w:val="single"/>
            <w:lang w:eastAsia="ru-RU"/>
          </w:rPr>
          <w:t>"Про фахову передвищу освіту"</w:t>
        </w:r>
      </w:hyperlink>
      <w:r w:rsidRPr="00AE1D48">
        <w:rPr>
          <w:rFonts w:ascii="Arial" w:eastAsia="Times New Roman" w:hAnsi="Arial" w:cs="Arial"/>
          <w:color w:val="2A2928"/>
          <w:sz w:val="16"/>
          <w:szCs w:val="16"/>
          <w:lang w:eastAsia="ru-RU"/>
        </w:rPr>
        <w:t>,</w:t>
      </w:r>
      <w:r w:rsidRPr="00AE1D48">
        <w:rPr>
          <w:rFonts w:ascii="Arial" w:eastAsia="Times New Roman" w:hAnsi="Arial" w:cs="Arial"/>
          <w:color w:val="2A2928"/>
          <w:sz w:val="16"/>
          <w:lang w:eastAsia="ru-RU"/>
        </w:rPr>
        <w:t> </w:t>
      </w:r>
      <w:hyperlink r:id="rId41" w:tgtFrame="_top" w:history="1">
        <w:r w:rsidRPr="00AE1D48">
          <w:rPr>
            <w:rFonts w:ascii="Arial" w:eastAsia="Times New Roman" w:hAnsi="Arial" w:cs="Arial"/>
            <w:color w:val="0000FF"/>
            <w:sz w:val="16"/>
            <w:u w:val="single"/>
            <w:lang w:eastAsia="ru-RU"/>
          </w:rPr>
          <w:t>"Про правовий статус іноземців та осіб без громадянства"</w:t>
        </w:r>
      </w:hyperlink>
      <w:r w:rsidRPr="00AE1D48">
        <w:rPr>
          <w:rFonts w:ascii="Arial" w:eastAsia="Times New Roman" w:hAnsi="Arial" w:cs="Arial"/>
          <w:color w:val="2A2928"/>
          <w:sz w:val="16"/>
          <w:szCs w:val="16"/>
          <w:lang w:eastAsia="ru-RU"/>
        </w:rPr>
        <w:t>,</w:t>
      </w:r>
      <w:hyperlink r:id="rId42" w:tgtFrame="_top" w:history="1">
        <w:r w:rsidRPr="00AE1D48">
          <w:rPr>
            <w:rFonts w:ascii="Arial" w:eastAsia="Times New Roman" w:hAnsi="Arial" w:cs="Arial"/>
            <w:color w:val="0000FF"/>
            <w:sz w:val="16"/>
            <w:u w:val="single"/>
            <w:lang w:eastAsia="ru-RU"/>
          </w:rPr>
          <w:t>"Про закордонних українців"</w:t>
        </w:r>
      </w:hyperlink>
      <w:r w:rsidRPr="00AE1D48">
        <w:rPr>
          <w:rFonts w:ascii="Arial" w:eastAsia="Times New Roman" w:hAnsi="Arial" w:cs="Arial"/>
          <w:color w:val="2A2928"/>
          <w:sz w:val="16"/>
          <w:szCs w:val="16"/>
          <w:lang w:eastAsia="ru-RU"/>
        </w:rPr>
        <w:t>,</w:t>
      </w:r>
      <w:r w:rsidRPr="00AE1D48">
        <w:rPr>
          <w:rFonts w:ascii="Arial" w:eastAsia="Times New Roman" w:hAnsi="Arial" w:cs="Arial"/>
          <w:color w:val="2A2928"/>
          <w:sz w:val="16"/>
          <w:lang w:eastAsia="ru-RU"/>
        </w:rPr>
        <w:t> </w:t>
      </w:r>
      <w:hyperlink r:id="rId43" w:tgtFrame="_top" w:history="1">
        <w:r w:rsidRPr="00AE1D48">
          <w:rPr>
            <w:rFonts w:ascii="Arial" w:eastAsia="Times New Roman" w:hAnsi="Arial" w:cs="Arial"/>
            <w:color w:val="0000FF"/>
            <w:sz w:val="16"/>
            <w:u w:val="single"/>
            <w:lang w:eastAsia="ru-RU"/>
          </w:rPr>
          <w:t>"Про біженців та осіб, які потребують додаткового або тимчасового захисту"</w:t>
        </w:r>
      </w:hyperlink>
      <w:r w:rsidRPr="00AE1D48">
        <w:rPr>
          <w:rFonts w:ascii="Arial" w:eastAsia="Times New Roman" w:hAnsi="Arial" w:cs="Arial"/>
          <w:color w:val="2A2928"/>
          <w:sz w:val="16"/>
          <w:szCs w:val="16"/>
          <w:lang w:eastAsia="ru-RU"/>
        </w:rPr>
        <w:t>,</w:t>
      </w:r>
      <w:r w:rsidRPr="00AE1D48">
        <w:rPr>
          <w:rFonts w:ascii="Arial" w:eastAsia="Times New Roman" w:hAnsi="Arial" w:cs="Arial"/>
          <w:color w:val="2A2928"/>
          <w:sz w:val="16"/>
          <w:lang w:eastAsia="ru-RU"/>
        </w:rPr>
        <w:t> </w:t>
      </w:r>
      <w:hyperlink r:id="rId44" w:tgtFrame="_top" w:history="1">
        <w:r w:rsidRPr="00AE1D48">
          <w:rPr>
            <w:rFonts w:ascii="Arial" w:eastAsia="Times New Roman" w:hAnsi="Arial" w:cs="Arial"/>
            <w:color w:val="0000FF"/>
            <w:sz w:val="16"/>
            <w:u w:val="single"/>
            <w:lang w:eastAsia="ru-RU"/>
          </w:rPr>
          <w:t>Указом Президента України від 03 червня 1994 року N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w:t>
        </w:r>
      </w:hyperlink>
      <w:r w:rsidRPr="00AE1D48">
        <w:rPr>
          <w:rFonts w:ascii="Arial" w:eastAsia="Times New Roman" w:hAnsi="Arial" w:cs="Arial"/>
          <w:color w:val="2A2928"/>
          <w:sz w:val="16"/>
          <w:szCs w:val="16"/>
          <w:lang w:eastAsia="ru-RU"/>
        </w:rPr>
        <w:t>,</w:t>
      </w:r>
      <w:r w:rsidRPr="00AE1D48">
        <w:rPr>
          <w:rFonts w:ascii="Arial" w:eastAsia="Times New Roman" w:hAnsi="Arial" w:cs="Arial"/>
          <w:color w:val="2A2928"/>
          <w:sz w:val="16"/>
          <w:lang w:eastAsia="ru-RU"/>
        </w:rPr>
        <w:t> </w:t>
      </w:r>
      <w:hyperlink r:id="rId45" w:tgtFrame="_top" w:history="1">
        <w:r w:rsidRPr="00AE1D48">
          <w:rPr>
            <w:rFonts w:ascii="Arial" w:eastAsia="Times New Roman" w:hAnsi="Arial" w:cs="Arial"/>
            <w:color w:val="0000FF"/>
            <w:sz w:val="16"/>
            <w:u w:val="single"/>
            <w:lang w:eastAsia="ru-RU"/>
          </w:rPr>
          <w:t>постановою Кабінету Міністрів України від 11 вересня 2013 року N 684 "Деякі питання набору для навчання іноземців та осіб без громадянства"</w:t>
        </w:r>
      </w:hyperlink>
      <w:r w:rsidRPr="00AE1D48">
        <w:rPr>
          <w:rFonts w:ascii="Arial" w:eastAsia="Times New Roman" w:hAnsi="Arial" w:cs="Arial"/>
          <w:color w:val="2A2928"/>
          <w:sz w:val="16"/>
          <w:szCs w:val="16"/>
          <w:lang w:eastAsia="ru-RU"/>
        </w:rPr>
        <w:t>,</w:t>
      </w:r>
      <w:r w:rsidRPr="00AE1D48">
        <w:rPr>
          <w:rFonts w:ascii="Arial" w:eastAsia="Times New Roman" w:hAnsi="Arial" w:cs="Arial"/>
          <w:color w:val="2A2928"/>
          <w:sz w:val="16"/>
          <w:lang w:eastAsia="ru-RU"/>
        </w:rPr>
        <w:t> </w:t>
      </w:r>
      <w:hyperlink r:id="rId46" w:tgtFrame="_top" w:history="1">
        <w:r w:rsidRPr="00AE1D48">
          <w:rPr>
            <w:rFonts w:ascii="Arial" w:eastAsia="Times New Roman" w:hAnsi="Arial" w:cs="Arial"/>
            <w:color w:val="0000FF"/>
            <w:sz w:val="16"/>
            <w:u w:val="single"/>
            <w:lang w:eastAsia="ru-RU"/>
          </w:rPr>
          <w:t>наказом Міністерства освіти і науки України від 01 листопада 2013 року N 1541 "Деякі питання організації набору та навчання (стажування) іноземців та осіб без громадянства"</w:t>
        </w:r>
      </w:hyperlink>
      <w:r w:rsidRPr="00AE1D48">
        <w:rPr>
          <w:rFonts w:ascii="Arial" w:eastAsia="Times New Roman" w:hAnsi="Arial" w:cs="Arial"/>
          <w:color w:val="2A2928"/>
          <w:sz w:val="16"/>
          <w:szCs w:val="16"/>
          <w:lang w:eastAsia="ru-RU"/>
        </w:rPr>
        <w:t>, зареєстрованим у Міністерстві юстиції України 25 листопада 2013 року за N 2004/24536.</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освіти або закладами вищої освіти, до структури яких входять заклади фахової передвищої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Іноземці, які прибувають в Україну з метою навчання, вступають до закладів освіти за акредитованими освітньо-професійними програмами (спеціальностями).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 xml:space="preserve">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w:t>
      </w:r>
      <w:r w:rsidRPr="00AE1D48">
        <w:rPr>
          <w:rFonts w:ascii="Arial" w:eastAsia="Times New Roman" w:hAnsi="Arial" w:cs="Arial"/>
          <w:color w:val="2A2928"/>
          <w:sz w:val="16"/>
          <w:szCs w:val="16"/>
          <w:lang w:eastAsia="ru-RU"/>
        </w:rPr>
        <w:lastRenderedPageBreak/>
        <w:t>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Вимоги закладу освіти щодо відповідності вступників із числа іноземців, які прибули в Україну з метою навчання, умовам прийому на відповідні рівні освіти,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w:t>
      </w:r>
      <w:hyperlink r:id="rId47" w:tgtFrame="_top" w:history="1">
        <w:r w:rsidRPr="00AE1D48">
          <w:rPr>
            <w:rFonts w:ascii="Arial" w:eastAsia="Times New Roman" w:hAnsi="Arial" w:cs="Arial"/>
            <w:color w:val="0000FF"/>
            <w:sz w:val="16"/>
            <w:u w:val="single"/>
            <w:lang w:eastAsia="ru-RU"/>
          </w:rPr>
          <w:t>Конституцією України</w:t>
        </w:r>
      </w:hyperlink>
      <w:r w:rsidRPr="00AE1D48">
        <w:rPr>
          <w:rFonts w:ascii="Arial" w:eastAsia="Times New Roman" w:hAnsi="Arial" w:cs="Arial"/>
          <w:color w:val="2A2928"/>
          <w:sz w:val="16"/>
          <w:szCs w:val="16"/>
          <w:lang w:eastAsia="ru-RU"/>
        </w:rPr>
        <w:t>, законами України чи міжнародними договорами, згода на обов'язковість яких надана Верховною Радою України.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9.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у тому числі за рахунок коштів державного або місцевого бюджету.</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XV. Вимоги до Правил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Правила прийому в 2021 році розробляються відповідно до законодавства України,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до 31 грудня 2020 року. Правила прийому діють протягом календарного року.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Правила прийому повинні містити: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перелік акредитованих та неакредитованих освітньо-професійних програм (рішення щодо акредитації освітньо-професійної програми вноситься до Єдиної державної електронної бази з питань освіти), а також конкурсних пропозицій, за якими здійснюється прийом;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перелік конкурсних предметів, з яких вступники мають подавати сертифікат зовнішнього незалежного оцінювання або складати вступні іспити для вступу на основі повної загальної середньої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порядок роботи приймальної комісії (дні тижня та години);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порядок і строки прийому заяв і документів;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порядок проведення вступних випробувань, спосіб та місце оприлюднення їх результатів;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порядок подання і розгляду апеляцій на результати вступних випробувань, що проведені закладом фахової передвищої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фахової передвищої освіти порядку;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вимоги до проходження медичного огляду вступників до закладів освіти, що проводять підготовку фахівців для галузей, які потребують обов'язкового професійного медичного відбору;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вимоги до проходження психологічного обстеження, медичного огляду та оцінки рівня фізичної підготовки (у випадках, визначених законодавством);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порядок та форми проведення творчих конкурсів, які передбачені цими Умовами;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наявність/відсутність місць, що фінансуються за державним (регіональним) замовленням, строки оприлюднення перших рейтингових списків рекомендованих вступників;</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вичерпний порядок обчислення конкурсного бала;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перелік можливостей для навчання осіб з особливими освітніми потребами.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Правила прийому повинні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одного року, потім знищуються, про що складається акт.</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та/або юридичних осіб після закінчення строку прийому документів можуть змінювати спеціальність та форму здобуття освіти на іншу в межах одного закладу освіти (за умови збігу конкурсних предметів та за наявності вакантних місць ліцензованого обсягу шляхом перенесення заяви та за умови, що таке перенесення не призводить до зарахування за відповідною формою здобуття освіти у терміни, які не відповідають цим Умовам).</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До 28 лютого 2021 року заклад освіти, що претендує на отримання місць за державним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Небюджетні конкурсні пропозиції можуть вноситись до ЄДЕБО до 14 червня 2021 року включно.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Створення будь-яких нових конкурсних пропозицій для здобуття освітньо-професійного ступеня фахової передвищої освіти на основі повної загальної середньої освіти у період з 15 червня 2021 року до 31 серпня 2021 року не здійснюється.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lastRenderedPageBreak/>
        <w:t>6. Небюджетні конкурсні пропозиції можуть створюватися за потреби: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вступу іноземних громадян та осіб без громадянства;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вступу на старші курси з нормативним терміном навчання;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для вступу через освітні центри "Крим-Україна" та "Донбас-Україна".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7. Обсяг прийому за кошти фізичних або юридичних осіб на основні конкурсні пропозиції визначається в Правилах прийому в межах різниці між ліцензованим обсягом з урахуванням його поділу за формами навчання та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8. Обсяг прийому на небюджетні конкурсні пропозиції визначається в Правилах прийому в межах ліцензованого обсягу з урахуванням його поділу за формами здобуття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9. Квота-1 встановлюється в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загального обсягу державного або регіонального замовлення за основними конкурсними пропозиціями і оголошуються одночасно з оголошенням загального обсягу державного замовлення.</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10. Квота-2 встановлюється в Правилах прийому в обсязі десяти відсотків (але не менше одного місця) та двадцяти відсотків (у закладах освіти, які функціонують на території Донецької та Луганської областей, і переміщених закладах освіти) загального обсягу державного замовлення за основними конкурсними пропозиціями (з округленням до цілого числа).</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XVI. Забезпечення відкритості та прозорості при проведенні прийому на навчання до закладів фахової передвищої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(регіональним)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rsidR="00AE1D48" w:rsidRPr="00AE1D48" w:rsidRDefault="00AE1D48" w:rsidP="00AE1D48">
      <w:pPr>
        <w:shd w:val="clear" w:color="auto" w:fill="FFFFFF"/>
        <w:spacing w:after="0" w:line="240" w:lineRule="atLeast"/>
        <w:ind w:firstLine="142"/>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вебсайті (вебсторінці) закладу освіти.</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про проходження зовнішнього незалежного оцінювання,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6. Інформування громадськості про ліцензований обсяг, обсяг місць, що фінансуються за державним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вебсайту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b/>
          <w:bCs/>
          <w:color w:val="2A2928"/>
          <w:sz w:val="16"/>
          <w:szCs w:val="16"/>
          <w:lang w:eastAsia="ru-RU"/>
        </w:rPr>
        <w:t> </w:t>
      </w:r>
    </w:p>
    <w:tbl>
      <w:tblPr>
        <w:tblW w:w="5000" w:type="pct"/>
        <w:tblCellSpacing w:w="22" w:type="dxa"/>
        <w:tblCellMar>
          <w:top w:w="70" w:type="dxa"/>
          <w:left w:w="540" w:type="dxa"/>
          <w:bottom w:w="70" w:type="dxa"/>
          <w:right w:w="540" w:type="dxa"/>
        </w:tblCellMar>
        <w:tblLook w:val="04A0" w:firstRow="1" w:lastRow="0" w:firstColumn="1" w:lastColumn="0" w:noHBand="0" w:noVBand="1"/>
      </w:tblPr>
      <w:tblGrid>
        <w:gridCol w:w="5643"/>
        <w:gridCol w:w="5643"/>
      </w:tblGrid>
      <w:tr w:rsidR="00AE1D48" w:rsidRPr="00AE1D48" w:rsidTr="00AE1D48">
        <w:trPr>
          <w:tblCellSpacing w:w="22" w:type="dxa"/>
        </w:trPr>
        <w:tc>
          <w:tcPr>
            <w:tcW w:w="2500" w:type="pct"/>
            <w:tcMar>
              <w:top w:w="0" w:type="dxa"/>
              <w:left w:w="0" w:type="dxa"/>
              <w:bottom w:w="0" w:type="dxa"/>
              <w:right w:w="0" w:type="dxa"/>
            </w:tcMar>
            <w:vAlign w:val="bottom"/>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Генеральний директор директорату</w:t>
            </w:r>
            <w:r w:rsidRPr="00AE1D48">
              <w:rPr>
                <w:rFonts w:eastAsia="Times New Roman"/>
                <w:b/>
                <w:bCs/>
                <w:sz w:val="16"/>
                <w:szCs w:val="16"/>
                <w:lang w:eastAsia="ru-RU"/>
              </w:rPr>
              <w:br/>
              <w:t>вищої освіти і освіти дорослих</w:t>
            </w:r>
          </w:p>
        </w:tc>
        <w:tc>
          <w:tcPr>
            <w:tcW w:w="2500" w:type="pct"/>
            <w:tcMar>
              <w:top w:w="0" w:type="dxa"/>
              <w:left w:w="0" w:type="dxa"/>
              <w:bottom w:w="0" w:type="dxa"/>
              <w:right w:w="0" w:type="dxa"/>
            </w:tcMar>
            <w:vAlign w:val="bottom"/>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О. Шаров</w:t>
            </w:r>
          </w:p>
        </w:tc>
      </w:tr>
    </w:tbl>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b/>
          <w:bCs/>
          <w:color w:val="2A2928"/>
          <w:sz w:val="16"/>
          <w:szCs w:val="16"/>
          <w:lang w:eastAsia="ru-RU"/>
        </w:rPr>
        <w:t> </w:t>
      </w:r>
    </w:p>
    <w:p w:rsidR="00AE1D48" w:rsidRPr="00AE1D48" w:rsidRDefault="00AE1D48" w:rsidP="00AE1D48">
      <w:pPr>
        <w:shd w:val="clear" w:color="auto" w:fill="FFFFFF"/>
        <w:spacing w:after="0" w:line="240" w:lineRule="atLeast"/>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Додаток 1</w:t>
      </w:r>
      <w:r w:rsidRPr="00AE1D48">
        <w:rPr>
          <w:rFonts w:ascii="Arial" w:eastAsia="Times New Roman" w:hAnsi="Arial" w:cs="Arial"/>
          <w:color w:val="2A2928"/>
          <w:sz w:val="16"/>
          <w:szCs w:val="16"/>
          <w:lang w:eastAsia="ru-RU"/>
        </w:rPr>
        <w:br/>
        <w:t>до Умов прийому на навчання</w:t>
      </w:r>
      <w:r w:rsidRPr="00AE1D48">
        <w:rPr>
          <w:rFonts w:ascii="Arial" w:eastAsia="Times New Roman" w:hAnsi="Arial" w:cs="Arial"/>
          <w:color w:val="2A2928"/>
          <w:sz w:val="16"/>
          <w:szCs w:val="16"/>
          <w:lang w:eastAsia="ru-RU"/>
        </w:rPr>
        <w:br/>
        <w:t>до закладів фахової передвищої освіти в 2021 році</w:t>
      </w:r>
      <w:r w:rsidRPr="00AE1D48">
        <w:rPr>
          <w:rFonts w:ascii="Arial" w:eastAsia="Times New Roman" w:hAnsi="Arial" w:cs="Arial"/>
          <w:color w:val="2A2928"/>
          <w:sz w:val="16"/>
          <w:szCs w:val="16"/>
          <w:lang w:eastAsia="ru-RU"/>
        </w:rPr>
        <w:br/>
        <w:t>(підпункт 2 пункту 1 розділу V)</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ПЕРЕЛІК</w:t>
      </w:r>
      <w:r w:rsidRPr="00AE1D48">
        <w:rPr>
          <w:rFonts w:ascii="Arial" w:eastAsia="Times New Roman" w:hAnsi="Arial" w:cs="Arial"/>
          <w:color w:val="2A2928"/>
          <w:sz w:val="21"/>
          <w:szCs w:val="21"/>
          <w:lang w:eastAsia="ru-RU"/>
        </w:rPr>
        <w:br/>
        <w:t>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09"/>
        <w:gridCol w:w="2578"/>
        <w:gridCol w:w="2017"/>
        <w:gridCol w:w="5604"/>
      </w:tblGrid>
      <w:tr w:rsidR="00AE1D48" w:rsidRPr="00AE1D48" w:rsidTr="00AE1D48">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Шифр галузі</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Галузь знань</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Код спеціальності</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Найменування спеціальності</w:t>
            </w:r>
          </w:p>
        </w:tc>
      </w:tr>
      <w:tr w:rsidR="00AE1D48" w:rsidRPr="00AE1D48" w:rsidTr="00AE1D48">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1</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2</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3</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4</w:t>
            </w:r>
          </w:p>
        </w:tc>
      </w:tr>
      <w:tr w:rsidR="00AE1D48" w:rsidRPr="00AE1D48" w:rsidTr="00AE1D48">
        <w:tc>
          <w:tcPr>
            <w:tcW w:w="4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01</w:t>
            </w:r>
          </w:p>
        </w:tc>
        <w:tc>
          <w:tcPr>
            <w:tcW w:w="11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Освіта/Педагогіка</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017</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Фізична культура і спорт</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014.11</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Середня освіта (Фізична культура)</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014.12</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Середня освіта (Образотворче мистецтво)</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014.13</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Середня освіта (Музичне мистецтво)</w:t>
            </w:r>
          </w:p>
        </w:tc>
      </w:tr>
      <w:tr w:rsidR="00AE1D48" w:rsidRPr="00AE1D48" w:rsidTr="00AE1D48">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02</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Культура і мистецтво</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021</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Аудіовізуальне мистецтво та виробництво</w:t>
            </w:r>
          </w:p>
        </w:tc>
      </w:tr>
      <w:tr w:rsidR="00AE1D48" w:rsidRPr="00AE1D48" w:rsidTr="00AE1D48">
        <w:tc>
          <w:tcPr>
            <w:tcW w:w="4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02</w:t>
            </w:r>
          </w:p>
        </w:tc>
        <w:tc>
          <w:tcPr>
            <w:tcW w:w="11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Культура і мистецтво</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022</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Дизайн (графічний дизайн, дизайн одягу (взуття), дизайн середовища, перукарське мистецтво та декоративна косметика)</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023</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Образотворче мистецтво, декоративне мистецтво, реставрація</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024</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Хореографія</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025</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Музичне мистецтво</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026</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Сценічне мистецтво</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028</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Менеджмент соціокультурної діяльності*</w:t>
            </w:r>
          </w:p>
        </w:tc>
      </w:tr>
      <w:tr w:rsidR="00AE1D48" w:rsidRPr="00AE1D48" w:rsidTr="00AE1D48">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Архітектура та будівництво</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191</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Архітектура та містобудування</w:t>
            </w:r>
          </w:p>
        </w:tc>
      </w:tr>
      <w:tr w:rsidR="00AE1D48" w:rsidRPr="00AE1D48" w:rsidTr="00AE1D48">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22</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Охорона здоров'я</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221</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Стоматологія</w:t>
            </w:r>
          </w:p>
        </w:tc>
      </w:tr>
      <w:tr w:rsidR="00AE1D48" w:rsidRPr="00AE1D48" w:rsidTr="00AE1D48">
        <w:tc>
          <w:tcPr>
            <w:tcW w:w="4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25</w:t>
            </w:r>
          </w:p>
        </w:tc>
        <w:tc>
          <w:tcPr>
            <w:tcW w:w="11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Воєнні науки, національна безпека, безпека державного кордону</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253</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Військове управління (за видами збройних сил)</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254</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Забезпечення військ (сил)</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255</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Озброєння та військова техніка</w:t>
            </w:r>
          </w:p>
        </w:tc>
      </w:tr>
      <w:tr w:rsidR="00AE1D48" w:rsidRPr="00AE1D48" w:rsidTr="00AE1D48">
        <w:tc>
          <w:tcPr>
            <w:tcW w:w="4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26</w:t>
            </w:r>
          </w:p>
        </w:tc>
        <w:tc>
          <w:tcPr>
            <w:tcW w:w="11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Цивільна безпека</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261</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Пожежна безпека</w:t>
            </w:r>
          </w:p>
        </w:tc>
      </w:tr>
      <w:tr w:rsidR="00AE1D48" w:rsidRPr="00AE1D48" w:rsidTr="00AE1D48">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AE1D48" w:rsidRPr="00AE1D48" w:rsidRDefault="00AE1D48" w:rsidP="00AE1D48">
            <w:pPr>
              <w:spacing w:after="0" w:line="240" w:lineRule="auto"/>
              <w:rPr>
                <w:rFonts w:eastAsia="Times New Roman"/>
                <w:sz w:val="16"/>
                <w:szCs w:val="16"/>
                <w:lang w:eastAsia="ru-RU"/>
              </w:rPr>
            </w:pP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262</w:t>
            </w:r>
          </w:p>
        </w:tc>
        <w:tc>
          <w:tcPr>
            <w:tcW w:w="2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AE1D48" w:rsidRPr="00AE1D48" w:rsidRDefault="00AE1D48" w:rsidP="00AE1D48">
            <w:pPr>
              <w:spacing w:after="0" w:line="240" w:lineRule="atLeast"/>
              <w:rPr>
                <w:rFonts w:eastAsia="Times New Roman"/>
                <w:sz w:val="16"/>
                <w:szCs w:val="16"/>
                <w:lang w:eastAsia="ru-RU"/>
              </w:rPr>
            </w:pPr>
            <w:r w:rsidRPr="00AE1D48">
              <w:rPr>
                <w:rFonts w:eastAsia="Times New Roman"/>
                <w:sz w:val="16"/>
                <w:szCs w:val="16"/>
                <w:lang w:eastAsia="ru-RU"/>
              </w:rPr>
              <w:t>Правоохоронна діяльність</w:t>
            </w:r>
          </w:p>
        </w:tc>
      </w:tr>
    </w:tbl>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__________</w:t>
      </w:r>
      <w:r w:rsidRPr="00AE1D48">
        <w:rPr>
          <w:rFonts w:ascii="Arial" w:eastAsia="Times New Roman" w:hAnsi="Arial" w:cs="Arial"/>
          <w:color w:val="2A2928"/>
          <w:sz w:val="16"/>
          <w:szCs w:val="16"/>
          <w:lang w:eastAsia="ru-RU"/>
        </w:rPr>
        <w:br/>
        <w:t>*</w:t>
      </w:r>
      <w:r w:rsidRPr="00AE1D48">
        <w:rPr>
          <w:rFonts w:ascii="Arial" w:eastAsia="Times New Roman" w:hAnsi="Arial" w:cs="Arial"/>
          <w:color w:val="2A2928"/>
          <w:sz w:val="16"/>
          <w:lang w:eastAsia="ru-RU"/>
        </w:rPr>
        <w:t> За умови, що підготовка здобувачів освіти за освітньо-кваліфікаційним рівнем молодшого спеціаліста до 2015 року здійснювалася за спеціальністю "Народна творчість".</w:t>
      </w:r>
    </w:p>
    <w:p w:rsidR="00AE1D48" w:rsidRPr="00AE1D48" w:rsidRDefault="00AE1D48" w:rsidP="00AE1D48">
      <w:pPr>
        <w:shd w:val="clear" w:color="auto" w:fill="FFFFFF"/>
        <w:spacing w:after="0" w:line="240" w:lineRule="atLeast"/>
        <w:jc w:val="both"/>
        <w:rPr>
          <w:rFonts w:ascii="Arial" w:eastAsia="Times New Roman" w:hAnsi="Arial" w:cs="Arial"/>
          <w:color w:val="2A2928"/>
          <w:sz w:val="16"/>
          <w:szCs w:val="16"/>
          <w:lang w:eastAsia="ru-RU"/>
        </w:rPr>
      </w:pPr>
      <w:r w:rsidRPr="00AE1D48">
        <w:rPr>
          <w:rFonts w:ascii="Arial" w:eastAsia="Times New Roman" w:hAnsi="Arial" w:cs="Arial"/>
          <w:b/>
          <w:bCs/>
          <w:color w:val="2A2928"/>
          <w:sz w:val="16"/>
          <w:szCs w:val="16"/>
          <w:lang w:eastAsia="ru-RU"/>
        </w:rPr>
        <w:t> </w:t>
      </w:r>
    </w:p>
    <w:p w:rsidR="00AE1D48" w:rsidRPr="00AE1D48" w:rsidRDefault="00AE1D48" w:rsidP="00AE1D48">
      <w:pPr>
        <w:shd w:val="clear" w:color="auto" w:fill="FFFFFF"/>
        <w:spacing w:after="0" w:line="240" w:lineRule="atLeast"/>
        <w:rPr>
          <w:rFonts w:ascii="Arial" w:eastAsia="Times New Roman" w:hAnsi="Arial" w:cs="Arial"/>
          <w:color w:val="2A2928"/>
          <w:sz w:val="16"/>
          <w:szCs w:val="16"/>
          <w:lang w:eastAsia="ru-RU"/>
        </w:rPr>
      </w:pPr>
      <w:r w:rsidRPr="00AE1D48">
        <w:rPr>
          <w:rFonts w:ascii="Arial" w:eastAsia="Times New Roman" w:hAnsi="Arial" w:cs="Arial"/>
          <w:color w:val="2A2928"/>
          <w:sz w:val="16"/>
          <w:szCs w:val="16"/>
          <w:lang w:eastAsia="ru-RU"/>
        </w:rPr>
        <w:t>Додаток 2</w:t>
      </w:r>
      <w:r w:rsidRPr="00AE1D48">
        <w:rPr>
          <w:rFonts w:ascii="Arial" w:eastAsia="Times New Roman" w:hAnsi="Arial" w:cs="Arial"/>
          <w:color w:val="2A2928"/>
          <w:sz w:val="16"/>
          <w:szCs w:val="16"/>
          <w:lang w:eastAsia="ru-RU"/>
        </w:rPr>
        <w:br/>
        <w:t>до Умов прийому на навчання до закладів фахової передвищої освіти в 2021 році</w:t>
      </w:r>
      <w:r w:rsidRPr="00AE1D48">
        <w:rPr>
          <w:rFonts w:ascii="Arial" w:eastAsia="Times New Roman" w:hAnsi="Arial" w:cs="Arial"/>
          <w:color w:val="2A2928"/>
          <w:sz w:val="16"/>
          <w:szCs w:val="16"/>
          <w:lang w:eastAsia="ru-RU"/>
        </w:rPr>
        <w:br/>
        <w:t>(підпункт 1 пункту 7 розділу VII)</w:t>
      </w:r>
    </w:p>
    <w:p w:rsidR="00AE1D48" w:rsidRPr="00AE1D48" w:rsidRDefault="00AE1D48" w:rsidP="00AE1D48">
      <w:pPr>
        <w:shd w:val="clear" w:color="auto" w:fill="FFFFFF"/>
        <w:spacing w:after="0" w:line="290" w:lineRule="atLeast"/>
        <w:jc w:val="center"/>
        <w:outlineLvl w:val="2"/>
        <w:rPr>
          <w:rFonts w:ascii="Arial" w:eastAsia="Times New Roman" w:hAnsi="Arial" w:cs="Arial"/>
          <w:color w:val="2A2928"/>
          <w:sz w:val="21"/>
          <w:szCs w:val="21"/>
          <w:lang w:eastAsia="ru-RU"/>
        </w:rPr>
      </w:pPr>
      <w:r w:rsidRPr="00AE1D48">
        <w:rPr>
          <w:rFonts w:ascii="Arial" w:eastAsia="Times New Roman" w:hAnsi="Arial" w:cs="Arial"/>
          <w:color w:val="2A2928"/>
          <w:sz w:val="21"/>
          <w:szCs w:val="21"/>
          <w:lang w:eastAsia="ru-RU"/>
        </w:rPr>
        <w:t>ТАБЛИЦЯ</w:t>
      </w:r>
      <w:r w:rsidRPr="00AE1D48">
        <w:rPr>
          <w:rFonts w:ascii="Arial" w:eastAsia="Times New Roman" w:hAnsi="Arial" w:cs="Arial"/>
          <w:color w:val="2A2928"/>
          <w:sz w:val="21"/>
          <w:szCs w:val="21"/>
          <w:lang w:eastAsia="ru-RU"/>
        </w:rPr>
        <w:br/>
        <w:t>переведення середнього бала документа про середню освіту, обрахованого за 12-бальною шкалою, у шкалу 100 - 200</w:t>
      </w:r>
    </w:p>
    <w:tbl>
      <w:tblPr>
        <w:tblW w:w="5000" w:type="pct"/>
        <w:tblCellSpacing w:w="22" w:type="dxa"/>
        <w:tblCellMar>
          <w:top w:w="70" w:type="dxa"/>
          <w:left w:w="540" w:type="dxa"/>
          <w:bottom w:w="70" w:type="dxa"/>
          <w:right w:w="540" w:type="dxa"/>
        </w:tblCellMar>
        <w:tblLook w:val="04A0" w:firstRow="1" w:lastRow="0" w:firstColumn="1" w:lastColumn="0" w:noHBand="0" w:noVBand="1"/>
      </w:tblPr>
      <w:tblGrid>
        <w:gridCol w:w="11286"/>
      </w:tblGrid>
      <w:tr w:rsidR="00AE1D48" w:rsidRPr="00AE1D48" w:rsidTr="00AE1D48">
        <w:trPr>
          <w:tblCellSpacing w:w="22" w:type="dxa"/>
        </w:trPr>
        <w:tc>
          <w:tcPr>
            <w:tcW w:w="5000" w:type="pct"/>
            <w:tcMar>
              <w:top w:w="0" w:type="dxa"/>
              <w:left w:w="0" w:type="dxa"/>
              <w:bottom w:w="0" w:type="dxa"/>
              <w:right w:w="0" w:type="dxa"/>
            </w:tcMar>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08"/>
              <w:gridCol w:w="3676"/>
              <w:gridCol w:w="3698"/>
            </w:tblGrid>
            <w:tr w:rsidR="00AE1D48" w:rsidRPr="00AE1D48">
              <w:trPr>
                <w:tblCellSpacing w:w="22" w:type="dxa"/>
              </w:trPr>
              <w:tc>
                <w:tcPr>
                  <w:tcW w:w="17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8"/>
                    <w:gridCol w:w="1848"/>
                  </w:tblGrid>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Бал документа за 12-бальною шкалою</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Переведення у шкалу 100 - 200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1</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2</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2,1</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101</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2,2</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102</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2,3</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103</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2,4</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104</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2,5</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105</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2,6</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106</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2,7</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107</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2,8</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108</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2,9</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109</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3</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110</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3,1</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111</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3,2</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112</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3,3</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113</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3,4</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114</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3,5</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115</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3,6</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116</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3,7</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117</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3,8</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118</w:t>
                        </w:r>
                      </w:p>
                    </w:tc>
                  </w:tr>
                  <w:tr w:rsidR="00AE1D48" w:rsidRPr="00AE1D48">
                    <w:trPr>
                      <w:tblCellSpacing w:w="22" w:type="dxa"/>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lastRenderedPageBreak/>
                          <w:t>3,9</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119</w:t>
                        </w:r>
                      </w:p>
                    </w:tc>
                  </w:tr>
                </w:tbl>
                <w:p w:rsidR="00AE1D48" w:rsidRPr="00AE1D48" w:rsidRDefault="00AE1D48" w:rsidP="00AE1D48">
                  <w:pPr>
                    <w:spacing w:after="0" w:line="240" w:lineRule="auto"/>
                    <w:rPr>
                      <w:rFonts w:eastAsia="Times New Roman"/>
                      <w:szCs w:val="24"/>
                      <w:lang w:eastAsia="ru-RU"/>
                    </w:rPr>
                  </w:pPr>
                  <w:r w:rsidRPr="00AE1D48">
                    <w:rPr>
                      <w:rFonts w:eastAsia="Times New Roman"/>
                      <w:szCs w:val="24"/>
                      <w:lang w:eastAsia="ru-RU"/>
                    </w:rPr>
                    <w:br w:type="textWrapping" w:clear="all"/>
                  </w:r>
                </w:p>
              </w:tc>
              <w:tc>
                <w:tcPr>
                  <w:tcW w:w="1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2"/>
                    <w:gridCol w:w="1724"/>
                  </w:tblGrid>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lastRenderedPageBreak/>
                          <w:t>Бал документа за 12-бальною шкалою</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Переведення у шкалу 100 - 200</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1</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2</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120</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4,1</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121</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4,2</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122</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4,3</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123</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4,4</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124</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4,5</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125</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4,6</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126</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4,7</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127</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4,8</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128</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4,9</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129</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130</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5,1</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131</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5,2</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132</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5,3</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133</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5,4</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134</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5,5</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135</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5,6</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136</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5,7</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137</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5,8</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138</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5,9</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139</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6</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140</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6,1</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141</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6,2</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142</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6,3</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143</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6,4</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144</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6,5</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145</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6,6</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146</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6,7</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147</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6,8</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148</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lastRenderedPageBreak/>
                          <w:t>6,9</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149</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150</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7,1</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151</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7,2</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152</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7,3</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153</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7,4</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154</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7,5</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155</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7,6</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156</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7,7</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157</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7,8</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158</w:t>
                        </w:r>
                      </w:p>
                    </w:tc>
                  </w:tr>
                  <w:tr w:rsidR="00AE1D48" w:rsidRPr="00AE1D48">
                    <w:trPr>
                      <w:tblCellSpacing w:w="22" w:type="dxa"/>
                    </w:trPr>
                    <w:tc>
                      <w:tcPr>
                        <w:tcW w:w="2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7,9</w:t>
                        </w:r>
                      </w:p>
                    </w:tc>
                    <w:tc>
                      <w:tcPr>
                        <w:tcW w:w="2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159</w:t>
                        </w:r>
                      </w:p>
                    </w:tc>
                  </w:tr>
                </w:tbl>
                <w:p w:rsidR="00AE1D48" w:rsidRPr="00AE1D48" w:rsidRDefault="00AE1D48" w:rsidP="00AE1D48">
                  <w:pPr>
                    <w:spacing w:after="0" w:line="240" w:lineRule="auto"/>
                    <w:rPr>
                      <w:rFonts w:eastAsia="Times New Roman"/>
                      <w:szCs w:val="24"/>
                      <w:lang w:eastAsia="ru-RU"/>
                    </w:rPr>
                  </w:pPr>
                  <w:r w:rsidRPr="00AE1D48">
                    <w:rPr>
                      <w:rFonts w:eastAsia="Times New Roman"/>
                      <w:szCs w:val="24"/>
                      <w:lang w:eastAsia="ru-RU"/>
                    </w:rPr>
                    <w:br w:type="textWrapping" w:clear="all"/>
                  </w:r>
                </w:p>
              </w:tc>
              <w:tc>
                <w:tcPr>
                  <w:tcW w:w="1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8"/>
                    <w:gridCol w:w="1758"/>
                  </w:tblGrid>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lastRenderedPageBreak/>
                          <w:t>Бал документа за 12-бальною шкалою</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Переведення у шкалу 100 - 200</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1</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b/>
                            <w:bCs/>
                            <w:sz w:val="16"/>
                            <w:szCs w:val="16"/>
                            <w:lang w:eastAsia="ru-RU"/>
                          </w:rPr>
                          <w:t>2</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160</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8,1</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161</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8,2</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162</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8,3</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163</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8,4</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164</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8,5</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165</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8,6</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166</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8,7</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167</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8,8</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168</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8,9</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169</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170</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9,1</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171</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9,2</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172</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9,3</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173</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9,4</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174</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9,5</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175</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9,6</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176</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9,7</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177</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9,8</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178</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9,9</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179</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180</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10,1</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181</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10,2</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182</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10,3</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183</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10,4</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184</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10,5</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185</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10,6</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186</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10,7</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187</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10,8</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188</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lastRenderedPageBreak/>
                          <w:t>10,9</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189</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190</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11,1</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191</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11,2</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192</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11,3</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193</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11,4</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194</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11,5</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195</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11,6</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196</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11,7</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197</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11,8</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198</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11,9</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199</w:t>
                        </w:r>
                      </w:p>
                    </w:tc>
                  </w:tr>
                  <w:tr w:rsidR="00AE1D48" w:rsidRPr="00AE1D48">
                    <w:trPr>
                      <w:tblCellSpacing w:w="22" w:type="dxa"/>
                    </w:trPr>
                    <w:tc>
                      <w:tcPr>
                        <w:tcW w:w="2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12</w:t>
                        </w:r>
                      </w:p>
                    </w:tc>
                    <w:tc>
                      <w:tcPr>
                        <w:tcW w:w="2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E1D48" w:rsidRPr="00AE1D48" w:rsidRDefault="00AE1D48" w:rsidP="00AE1D48">
                        <w:pPr>
                          <w:spacing w:after="0" w:line="240" w:lineRule="atLeast"/>
                          <w:jc w:val="center"/>
                          <w:rPr>
                            <w:rFonts w:eastAsia="Times New Roman"/>
                            <w:sz w:val="16"/>
                            <w:szCs w:val="16"/>
                            <w:lang w:eastAsia="ru-RU"/>
                          </w:rPr>
                        </w:pPr>
                        <w:r w:rsidRPr="00AE1D48">
                          <w:rPr>
                            <w:rFonts w:eastAsia="Times New Roman"/>
                            <w:sz w:val="16"/>
                            <w:szCs w:val="16"/>
                            <w:lang w:eastAsia="ru-RU"/>
                          </w:rPr>
                          <w:t>200</w:t>
                        </w:r>
                      </w:p>
                    </w:tc>
                  </w:tr>
                </w:tbl>
                <w:p w:rsidR="00AE1D48" w:rsidRPr="00AE1D48" w:rsidRDefault="00AE1D48" w:rsidP="00AE1D48">
                  <w:pPr>
                    <w:spacing w:after="0" w:line="240" w:lineRule="auto"/>
                    <w:rPr>
                      <w:rFonts w:eastAsia="Times New Roman"/>
                      <w:szCs w:val="24"/>
                      <w:lang w:eastAsia="ru-RU"/>
                    </w:rPr>
                  </w:pPr>
                  <w:r w:rsidRPr="00AE1D48">
                    <w:rPr>
                      <w:rFonts w:eastAsia="Times New Roman"/>
                      <w:szCs w:val="24"/>
                      <w:lang w:eastAsia="ru-RU"/>
                    </w:rPr>
                    <w:br w:type="textWrapping" w:clear="all"/>
                  </w:r>
                </w:p>
              </w:tc>
            </w:tr>
          </w:tbl>
          <w:p w:rsidR="00AE1D48" w:rsidRPr="00AE1D48" w:rsidRDefault="00AE1D48" w:rsidP="00AE1D48">
            <w:pPr>
              <w:spacing w:after="0" w:line="240" w:lineRule="auto"/>
              <w:rPr>
                <w:rFonts w:eastAsia="Times New Roman"/>
                <w:szCs w:val="24"/>
                <w:lang w:eastAsia="ru-RU"/>
              </w:rPr>
            </w:pPr>
          </w:p>
        </w:tc>
      </w:tr>
    </w:tbl>
    <w:p w:rsidR="007B07A3" w:rsidRDefault="007B07A3"/>
    <w:sectPr w:rsidR="007B07A3" w:rsidSect="00AE1D48">
      <w:pgSz w:w="11906" w:h="16838"/>
      <w:pgMar w:top="426"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C0F15"/>
    <w:multiLevelType w:val="multilevel"/>
    <w:tmpl w:val="C94E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D48"/>
    <w:rsid w:val="000D4964"/>
    <w:rsid w:val="0055715E"/>
    <w:rsid w:val="00616B0D"/>
    <w:rsid w:val="00733011"/>
    <w:rsid w:val="007B07A3"/>
    <w:rsid w:val="00AE1D48"/>
    <w:rsid w:val="00F37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9D204-1472-41C8-B241-62672ED0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011"/>
    <w:pPr>
      <w:spacing w:after="200" w:line="276" w:lineRule="auto"/>
    </w:pPr>
    <w:rPr>
      <w:rFonts w:ascii="Times New Roman" w:hAnsi="Times New Roman"/>
      <w:sz w:val="24"/>
      <w:szCs w:val="22"/>
      <w:lang w:val="ru-RU" w:eastAsia="en-US"/>
    </w:rPr>
  </w:style>
  <w:style w:type="paragraph" w:styleId="2">
    <w:name w:val="heading 2"/>
    <w:basedOn w:val="a"/>
    <w:link w:val="20"/>
    <w:uiPriority w:val="9"/>
    <w:qFormat/>
    <w:rsid w:val="00AE1D48"/>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AE1D48"/>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E1D48"/>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AE1D48"/>
    <w:rPr>
      <w:rFonts w:ascii="Times New Roman" w:eastAsia="Times New Roman" w:hAnsi="Times New Roman" w:cs="Times New Roman"/>
      <w:b/>
      <w:bCs/>
      <w:sz w:val="27"/>
      <w:szCs w:val="27"/>
      <w:lang w:eastAsia="ru-RU"/>
    </w:rPr>
  </w:style>
  <w:style w:type="character" w:styleId="a3">
    <w:name w:val="Hyperlink"/>
    <w:uiPriority w:val="99"/>
    <w:semiHidden/>
    <w:unhideWhenUsed/>
    <w:rsid w:val="00AE1D48"/>
    <w:rPr>
      <w:color w:val="0000FF"/>
      <w:u w:val="single"/>
    </w:rPr>
  </w:style>
  <w:style w:type="paragraph" w:customStyle="1" w:styleId="tc">
    <w:name w:val="tc"/>
    <w:basedOn w:val="a"/>
    <w:rsid w:val="00AE1D48"/>
    <w:pPr>
      <w:spacing w:before="100" w:beforeAutospacing="1" w:after="100" w:afterAutospacing="1" w:line="240" w:lineRule="auto"/>
    </w:pPr>
    <w:rPr>
      <w:rFonts w:eastAsia="Times New Roman"/>
      <w:szCs w:val="24"/>
      <w:lang w:eastAsia="ru-RU"/>
    </w:rPr>
  </w:style>
  <w:style w:type="paragraph" w:customStyle="1" w:styleId="tj">
    <w:name w:val="tj"/>
    <w:basedOn w:val="a"/>
    <w:rsid w:val="00AE1D48"/>
    <w:pPr>
      <w:spacing w:before="100" w:beforeAutospacing="1" w:after="100" w:afterAutospacing="1" w:line="240" w:lineRule="auto"/>
    </w:pPr>
    <w:rPr>
      <w:rFonts w:eastAsia="Times New Roman"/>
      <w:szCs w:val="24"/>
      <w:lang w:eastAsia="ru-RU"/>
    </w:rPr>
  </w:style>
  <w:style w:type="character" w:customStyle="1" w:styleId="apple-converted-space">
    <w:name w:val="apple-converted-space"/>
    <w:basedOn w:val="a0"/>
    <w:rsid w:val="00AE1D48"/>
  </w:style>
  <w:style w:type="paragraph" w:customStyle="1" w:styleId="tl">
    <w:name w:val="tl"/>
    <w:basedOn w:val="a"/>
    <w:rsid w:val="00AE1D48"/>
    <w:pPr>
      <w:spacing w:before="100" w:beforeAutospacing="1" w:after="100" w:afterAutospacing="1" w:line="240" w:lineRule="auto"/>
    </w:pPr>
    <w:rPr>
      <w:rFonts w:eastAsia="Times New Roman"/>
      <w:szCs w:val="24"/>
      <w:lang w:eastAsia="ru-RU"/>
    </w:rPr>
  </w:style>
  <w:style w:type="character" w:customStyle="1" w:styleId="fs2">
    <w:name w:val="fs2"/>
    <w:basedOn w:val="a0"/>
    <w:rsid w:val="00AE1D48"/>
  </w:style>
  <w:style w:type="paragraph" w:styleId="a4">
    <w:name w:val="Balloon Text"/>
    <w:basedOn w:val="a"/>
    <w:link w:val="a5"/>
    <w:uiPriority w:val="99"/>
    <w:semiHidden/>
    <w:unhideWhenUsed/>
    <w:rsid w:val="00AE1D4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AE1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93646">
      <w:bodyDiv w:val="1"/>
      <w:marLeft w:val="0"/>
      <w:marRight w:val="0"/>
      <w:marTop w:val="0"/>
      <w:marBottom w:val="0"/>
      <w:divBdr>
        <w:top w:val="none" w:sz="0" w:space="0" w:color="auto"/>
        <w:left w:val="none" w:sz="0" w:space="0" w:color="auto"/>
        <w:bottom w:val="none" w:sz="0" w:space="0" w:color="auto"/>
        <w:right w:val="none" w:sz="0" w:space="0" w:color="auto"/>
      </w:divBdr>
      <w:divsChild>
        <w:div w:id="1280137242">
          <w:marLeft w:val="0"/>
          <w:marRight w:val="0"/>
          <w:marTop w:val="0"/>
          <w:marBottom w:val="0"/>
          <w:divBdr>
            <w:top w:val="none" w:sz="0" w:space="0" w:color="auto"/>
            <w:left w:val="none" w:sz="0" w:space="0" w:color="auto"/>
            <w:bottom w:val="none" w:sz="0" w:space="0" w:color="auto"/>
            <w:right w:val="none" w:sz="0" w:space="0" w:color="auto"/>
          </w:divBdr>
        </w:div>
        <w:div w:id="1948390617">
          <w:marLeft w:val="0"/>
          <w:marRight w:val="0"/>
          <w:marTop w:val="0"/>
          <w:marBottom w:val="0"/>
          <w:divBdr>
            <w:top w:val="none" w:sz="0" w:space="0" w:color="auto"/>
            <w:left w:val="single" w:sz="4" w:space="0" w:color="CCCCCC"/>
            <w:bottom w:val="single" w:sz="4" w:space="3" w:color="CCCCCC"/>
            <w:right w:val="single" w:sz="4" w:space="0" w:color="CCCCCC"/>
          </w:divBdr>
          <w:divsChild>
            <w:div w:id="648830228">
              <w:marLeft w:val="0"/>
              <w:marRight w:val="0"/>
              <w:marTop w:val="0"/>
              <w:marBottom w:val="0"/>
              <w:divBdr>
                <w:top w:val="none" w:sz="0" w:space="0" w:color="auto"/>
                <w:left w:val="none" w:sz="0" w:space="0" w:color="auto"/>
                <w:bottom w:val="none" w:sz="0" w:space="0" w:color="auto"/>
                <w:right w:val="none" w:sz="0" w:space="0" w:color="auto"/>
              </w:divBdr>
              <w:divsChild>
                <w:div w:id="2144080508">
                  <w:marLeft w:val="540"/>
                  <w:marRight w:val="540"/>
                  <w:marTop w:val="70"/>
                  <w:marBottom w:val="7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RE27796.html" TargetMode="External"/><Relationship Id="rId18" Type="http://schemas.openxmlformats.org/officeDocument/2006/relationships/hyperlink" Target="http://search.ligazakon.ua/l_doc2.nsf/link1/T172145.html" TargetMode="External"/><Relationship Id="rId26" Type="http://schemas.openxmlformats.org/officeDocument/2006/relationships/hyperlink" Target="http://search.ligazakon.ua/l_doc2.nsf/link1/RE29037.html" TargetMode="External"/><Relationship Id="rId39" Type="http://schemas.openxmlformats.org/officeDocument/2006/relationships/hyperlink" Target="http://search.ligazakon.ua/l_doc2.nsf/link1/T172145.html" TargetMode="External"/><Relationship Id="rId3" Type="http://schemas.openxmlformats.org/officeDocument/2006/relationships/settings" Target="settings.xml"/><Relationship Id="rId21" Type="http://schemas.openxmlformats.org/officeDocument/2006/relationships/hyperlink" Target="http://search.ligazakon.ua/l_doc2.nsf/link1/RE29037.html" TargetMode="External"/><Relationship Id="rId34" Type="http://schemas.openxmlformats.org/officeDocument/2006/relationships/hyperlink" Target="http://search.ligazakon.ua/l_doc2.nsf/link1/RE29839.html" TargetMode="External"/><Relationship Id="rId42" Type="http://schemas.openxmlformats.org/officeDocument/2006/relationships/hyperlink" Target="http://search.ligazakon.ua/l_doc2.nsf/link1/T041582.html" TargetMode="External"/><Relationship Id="rId47" Type="http://schemas.openxmlformats.org/officeDocument/2006/relationships/hyperlink" Target="http://search.ligazakon.ua/l_doc2.nsf/link1/Z960254K.html" TargetMode="External"/><Relationship Id="rId7" Type="http://schemas.openxmlformats.org/officeDocument/2006/relationships/hyperlink" Target="http://search.ligazakon.ua/l_doc2.nsf/link1/RE27798.html" TargetMode="External"/><Relationship Id="rId12" Type="http://schemas.openxmlformats.org/officeDocument/2006/relationships/hyperlink" Target="http://search.ligazakon.ua/l_doc2.nsf/link1/KP180417.html" TargetMode="External"/><Relationship Id="rId17" Type="http://schemas.openxmlformats.org/officeDocument/2006/relationships/hyperlink" Target="http://search.ligazakon.ua/l_doc2.nsf/link1/T192745.html" TargetMode="External"/><Relationship Id="rId25" Type="http://schemas.openxmlformats.org/officeDocument/2006/relationships/hyperlink" Target="http://search.ligazakon.ua/l_doc2.nsf/link1/RE28925.html" TargetMode="External"/><Relationship Id="rId33" Type="http://schemas.openxmlformats.org/officeDocument/2006/relationships/hyperlink" Target="http://search.ligazakon.ua/l_doc2.nsf/link1/T355100.html" TargetMode="External"/><Relationship Id="rId38" Type="http://schemas.openxmlformats.org/officeDocument/2006/relationships/hyperlink" Target="http://search.ligazakon.ua/l_doc2.nsf/link1/T141706.html" TargetMode="External"/><Relationship Id="rId46" Type="http://schemas.openxmlformats.org/officeDocument/2006/relationships/hyperlink" Target="http://search.ligazakon.ua/l_doc2.nsf/link1/RE24536.html" TargetMode="External"/><Relationship Id="rId2" Type="http://schemas.openxmlformats.org/officeDocument/2006/relationships/styles" Target="styles.xml"/><Relationship Id="rId16" Type="http://schemas.openxmlformats.org/officeDocument/2006/relationships/hyperlink" Target="http://search.ligazakon.ua/l_doc2.nsf/link1/T041582.html" TargetMode="External"/><Relationship Id="rId20" Type="http://schemas.openxmlformats.org/officeDocument/2006/relationships/hyperlink" Target="http://search.ligazakon.ua/l_doc2.nsf/link1/RE28925.html" TargetMode="External"/><Relationship Id="rId29" Type="http://schemas.openxmlformats.org/officeDocument/2006/relationships/hyperlink" Target="http://search.ligazakon.ua/l_doc2.nsf/link1/KP150652.html" TargetMode="External"/><Relationship Id="rId41" Type="http://schemas.openxmlformats.org/officeDocument/2006/relationships/hyperlink" Target="http://search.ligazakon.ua/l_doc2.nsf/link1/T113773.html" TargetMode="External"/><Relationship Id="rId1" Type="http://schemas.openxmlformats.org/officeDocument/2006/relationships/numbering" Target="numbering.xml"/><Relationship Id="rId6" Type="http://schemas.openxmlformats.org/officeDocument/2006/relationships/hyperlink" Target="http://search.ligazakon.ua/l_doc2.nsf/link1/T192745.html" TargetMode="External"/><Relationship Id="rId11" Type="http://schemas.openxmlformats.org/officeDocument/2006/relationships/hyperlink" Target="http://search.ligazakon.ua/l_doc2.nsf/link1/KP180417.html" TargetMode="External"/><Relationship Id="rId24" Type="http://schemas.openxmlformats.org/officeDocument/2006/relationships/hyperlink" Target="http://search.ligazakon.ua/l_doc2.nsf/link1/T125492.html" TargetMode="External"/><Relationship Id="rId32" Type="http://schemas.openxmlformats.org/officeDocument/2006/relationships/hyperlink" Target="http://search.ligazakon.ua/l_doc2.nsf/link1/T079600.html" TargetMode="External"/><Relationship Id="rId37" Type="http://schemas.openxmlformats.org/officeDocument/2006/relationships/hyperlink" Target="http://search.ligazakon.ua/l_doc2.nsf/link1/T355100.html" TargetMode="External"/><Relationship Id="rId40" Type="http://schemas.openxmlformats.org/officeDocument/2006/relationships/hyperlink" Target="http://search.ligazakon.ua/l_doc2.nsf/link1/T192745.html" TargetMode="External"/><Relationship Id="rId45" Type="http://schemas.openxmlformats.org/officeDocument/2006/relationships/hyperlink" Target="http://search.ligazakon.ua/l_doc2.nsf/link1/KP130684.html" TargetMode="External"/><Relationship Id="rId5" Type="http://schemas.openxmlformats.org/officeDocument/2006/relationships/hyperlink" Target="http://search.ligazakon.ua/l_doc2.nsf/link1/T192745.html" TargetMode="External"/><Relationship Id="rId15" Type="http://schemas.openxmlformats.org/officeDocument/2006/relationships/hyperlink" Target="http://search.ligazakon.ua/l_doc2.nsf/link1/T125067.html" TargetMode="External"/><Relationship Id="rId23" Type="http://schemas.openxmlformats.org/officeDocument/2006/relationships/hyperlink" Target="http://search.ligazakon.ua/l_doc2.nsf/link1/T141706.html" TargetMode="External"/><Relationship Id="rId28" Type="http://schemas.openxmlformats.org/officeDocument/2006/relationships/hyperlink" Target="http://search.ligazakon.ua/l_doc2.nsf/link1/RE27059.html" TargetMode="External"/><Relationship Id="rId36" Type="http://schemas.openxmlformats.org/officeDocument/2006/relationships/hyperlink" Target="http://search.ligazakon.ua/l_doc2.nsf/link1/RE29837.html" TargetMode="External"/><Relationship Id="rId49" Type="http://schemas.openxmlformats.org/officeDocument/2006/relationships/theme" Target="theme/theme1.xml"/><Relationship Id="rId10" Type="http://schemas.openxmlformats.org/officeDocument/2006/relationships/hyperlink" Target="http://search.ligazakon.ua/l_doc2.nsf/link1/T192745.html" TargetMode="External"/><Relationship Id="rId19" Type="http://schemas.openxmlformats.org/officeDocument/2006/relationships/hyperlink" Target="http://search.ligazakon.ua/l_doc2.nsf/link1/KP150266.html" TargetMode="External"/><Relationship Id="rId31" Type="http://schemas.openxmlformats.org/officeDocument/2006/relationships/hyperlink" Target="http://search.ligazakon.ua/l_doc2.nsf/link1/T355100.html" TargetMode="External"/><Relationship Id="rId44" Type="http://schemas.openxmlformats.org/officeDocument/2006/relationships/hyperlink" Target="http://search.ligazakon.ua/l_doc2.nsf/link1/U271_94.html" TargetMode="External"/><Relationship Id="rId4" Type="http://schemas.openxmlformats.org/officeDocument/2006/relationships/webSettings" Target="webSettings.xml"/><Relationship Id="rId9" Type="http://schemas.openxmlformats.org/officeDocument/2006/relationships/hyperlink" Target="http://search.ligazakon.ua/l_doc2.nsf/link1/RE29037.html" TargetMode="External"/><Relationship Id="rId14" Type="http://schemas.openxmlformats.org/officeDocument/2006/relationships/hyperlink" Target="http://search.ligazakon.ua/l_doc2.nsf/link1/RE31265.html" TargetMode="External"/><Relationship Id="rId22" Type="http://schemas.openxmlformats.org/officeDocument/2006/relationships/hyperlink" Target="http://search.ligazakon.ua/l_doc2.nsf/link1/KP180673.html" TargetMode="External"/><Relationship Id="rId27" Type="http://schemas.openxmlformats.org/officeDocument/2006/relationships/hyperlink" Target="http://search.ligazakon.ua/l_doc2.nsf/link1/T125492.html" TargetMode="External"/><Relationship Id="rId30" Type="http://schemas.openxmlformats.org/officeDocument/2006/relationships/hyperlink" Target="http://search.ligazakon.ua/l_doc2.nsf/link1/KP160207.html" TargetMode="External"/><Relationship Id="rId35" Type="http://schemas.openxmlformats.org/officeDocument/2006/relationships/hyperlink" Target="http://search.ligazakon.ua/l_doc2.nsf/link1/RE29837.html" TargetMode="External"/><Relationship Id="rId43" Type="http://schemas.openxmlformats.org/officeDocument/2006/relationships/hyperlink" Target="http://search.ligazakon.ua/l_doc2.nsf/link1/T113671.html" TargetMode="External"/><Relationship Id="rId48" Type="http://schemas.openxmlformats.org/officeDocument/2006/relationships/fontTable" Target="fontTable.xml"/><Relationship Id="rId8" Type="http://schemas.openxmlformats.org/officeDocument/2006/relationships/hyperlink" Target="http://search.ligazakon.ua/l_doc2.nsf/link1/RE289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64761</Words>
  <Characters>36915</Characters>
  <Application>Microsoft Office Word</Application>
  <DocSecurity>0</DocSecurity>
  <Lines>307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101474</CharactersWithSpaces>
  <SharedDoc>false</SharedDoc>
  <HLinks>
    <vt:vector size="258" baseType="variant">
      <vt:variant>
        <vt:i4>5963889</vt:i4>
      </vt:variant>
      <vt:variant>
        <vt:i4>129</vt:i4>
      </vt:variant>
      <vt:variant>
        <vt:i4>0</vt:i4>
      </vt:variant>
      <vt:variant>
        <vt:i4>5</vt:i4>
      </vt:variant>
      <vt:variant>
        <vt:lpwstr>http://search.ligazakon.ua/l_doc2.nsf/link1/Z960254K.html</vt:lpwstr>
      </vt:variant>
      <vt:variant>
        <vt:lpwstr/>
      </vt:variant>
      <vt:variant>
        <vt:i4>6094887</vt:i4>
      </vt:variant>
      <vt:variant>
        <vt:i4>126</vt:i4>
      </vt:variant>
      <vt:variant>
        <vt:i4>0</vt:i4>
      </vt:variant>
      <vt:variant>
        <vt:i4>5</vt:i4>
      </vt:variant>
      <vt:variant>
        <vt:lpwstr>http://search.ligazakon.ua/l_doc2.nsf/link1/RE24536.html</vt:lpwstr>
      </vt:variant>
      <vt:variant>
        <vt:lpwstr/>
      </vt:variant>
      <vt:variant>
        <vt:i4>5046377</vt:i4>
      </vt:variant>
      <vt:variant>
        <vt:i4>123</vt:i4>
      </vt:variant>
      <vt:variant>
        <vt:i4>0</vt:i4>
      </vt:variant>
      <vt:variant>
        <vt:i4>5</vt:i4>
      </vt:variant>
      <vt:variant>
        <vt:lpwstr>http://search.ligazakon.ua/l_doc2.nsf/link1/KP130684.html</vt:lpwstr>
      </vt:variant>
      <vt:variant>
        <vt:lpwstr/>
      </vt:variant>
      <vt:variant>
        <vt:i4>327757</vt:i4>
      </vt:variant>
      <vt:variant>
        <vt:i4>120</vt:i4>
      </vt:variant>
      <vt:variant>
        <vt:i4>0</vt:i4>
      </vt:variant>
      <vt:variant>
        <vt:i4>5</vt:i4>
      </vt:variant>
      <vt:variant>
        <vt:lpwstr>http://search.ligazakon.ua/l_doc2.nsf/link1/U271_94.html</vt:lpwstr>
      </vt:variant>
      <vt:variant>
        <vt:lpwstr/>
      </vt:variant>
      <vt:variant>
        <vt:i4>655398</vt:i4>
      </vt:variant>
      <vt:variant>
        <vt:i4>117</vt:i4>
      </vt:variant>
      <vt:variant>
        <vt:i4>0</vt:i4>
      </vt:variant>
      <vt:variant>
        <vt:i4>5</vt:i4>
      </vt:variant>
      <vt:variant>
        <vt:lpwstr>http://search.ligazakon.ua/l_doc2.nsf/link1/T113671.html</vt:lpwstr>
      </vt:variant>
      <vt:variant>
        <vt:lpwstr/>
      </vt:variant>
      <vt:variant>
        <vt:i4>393251</vt:i4>
      </vt:variant>
      <vt:variant>
        <vt:i4>114</vt:i4>
      </vt:variant>
      <vt:variant>
        <vt:i4>0</vt:i4>
      </vt:variant>
      <vt:variant>
        <vt:i4>5</vt:i4>
      </vt:variant>
      <vt:variant>
        <vt:lpwstr>http://search.ligazakon.ua/l_doc2.nsf/link1/T041582.html</vt:lpwstr>
      </vt:variant>
      <vt:variant>
        <vt:lpwstr/>
      </vt:variant>
      <vt:variant>
        <vt:i4>655397</vt:i4>
      </vt:variant>
      <vt:variant>
        <vt:i4>111</vt:i4>
      </vt:variant>
      <vt:variant>
        <vt:i4>0</vt:i4>
      </vt:variant>
      <vt:variant>
        <vt:i4>5</vt:i4>
      </vt:variant>
      <vt:variant>
        <vt:lpwstr>http://search.ligazakon.ua/l_doc2.nsf/link1/T113773.html</vt:lpwstr>
      </vt:variant>
      <vt:variant>
        <vt:lpwstr/>
      </vt:variant>
      <vt:variant>
        <vt:i4>524331</vt:i4>
      </vt:variant>
      <vt:variant>
        <vt:i4>108</vt:i4>
      </vt:variant>
      <vt:variant>
        <vt:i4>0</vt:i4>
      </vt:variant>
      <vt:variant>
        <vt:i4>5</vt:i4>
      </vt:variant>
      <vt:variant>
        <vt:lpwstr>http://search.ligazakon.ua/l_doc2.nsf/link1/T192745.html</vt:lpwstr>
      </vt:variant>
      <vt:variant>
        <vt:lpwstr/>
      </vt:variant>
      <vt:variant>
        <vt:i4>524323</vt:i4>
      </vt:variant>
      <vt:variant>
        <vt:i4>105</vt:i4>
      </vt:variant>
      <vt:variant>
        <vt:i4>0</vt:i4>
      </vt:variant>
      <vt:variant>
        <vt:i4>5</vt:i4>
      </vt:variant>
      <vt:variant>
        <vt:lpwstr>http://search.ligazakon.ua/l_doc2.nsf/link1/T172145.html</vt:lpwstr>
      </vt:variant>
      <vt:variant>
        <vt:lpwstr/>
      </vt:variant>
      <vt:variant>
        <vt:i4>983077</vt:i4>
      </vt:variant>
      <vt:variant>
        <vt:i4>102</vt:i4>
      </vt:variant>
      <vt:variant>
        <vt:i4>0</vt:i4>
      </vt:variant>
      <vt:variant>
        <vt:i4>5</vt:i4>
      </vt:variant>
      <vt:variant>
        <vt:lpwstr>http://search.ligazakon.ua/l_doc2.nsf/link1/T141706.html</vt:lpwstr>
      </vt:variant>
      <vt:variant>
        <vt:lpwstr/>
      </vt:variant>
      <vt:variant>
        <vt:i4>589860</vt:i4>
      </vt:variant>
      <vt:variant>
        <vt:i4>99</vt:i4>
      </vt:variant>
      <vt:variant>
        <vt:i4>0</vt:i4>
      </vt:variant>
      <vt:variant>
        <vt:i4>5</vt:i4>
      </vt:variant>
      <vt:variant>
        <vt:lpwstr>http://search.ligazakon.ua/l_doc2.nsf/link1/T355100.html</vt:lpwstr>
      </vt:variant>
      <vt:variant>
        <vt:lpwstr/>
      </vt:variant>
      <vt:variant>
        <vt:i4>5242923</vt:i4>
      </vt:variant>
      <vt:variant>
        <vt:i4>96</vt:i4>
      </vt:variant>
      <vt:variant>
        <vt:i4>0</vt:i4>
      </vt:variant>
      <vt:variant>
        <vt:i4>5</vt:i4>
      </vt:variant>
      <vt:variant>
        <vt:lpwstr>http://search.ligazakon.ua/l_doc2.nsf/link1/RE29837.html</vt:lpwstr>
      </vt:variant>
      <vt:variant>
        <vt:lpwstr/>
      </vt:variant>
      <vt:variant>
        <vt:i4>5242923</vt:i4>
      </vt:variant>
      <vt:variant>
        <vt:i4>93</vt:i4>
      </vt:variant>
      <vt:variant>
        <vt:i4>0</vt:i4>
      </vt:variant>
      <vt:variant>
        <vt:i4>5</vt:i4>
      </vt:variant>
      <vt:variant>
        <vt:lpwstr>http://search.ligazakon.ua/l_doc2.nsf/link1/RE29837.html</vt:lpwstr>
      </vt:variant>
      <vt:variant>
        <vt:lpwstr/>
      </vt:variant>
      <vt:variant>
        <vt:i4>5242917</vt:i4>
      </vt:variant>
      <vt:variant>
        <vt:i4>90</vt:i4>
      </vt:variant>
      <vt:variant>
        <vt:i4>0</vt:i4>
      </vt:variant>
      <vt:variant>
        <vt:i4>5</vt:i4>
      </vt:variant>
      <vt:variant>
        <vt:lpwstr>http://search.ligazakon.ua/l_doc2.nsf/link1/RE29839.html</vt:lpwstr>
      </vt:variant>
      <vt:variant>
        <vt:lpwstr/>
      </vt:variant>
      <vt:variant>
        <vt:i4>589860</vt:i4>
      </vt:variant>
      <vt:variant>
        <vt:i4>87</vt:i4>
      </vt:variant>
      <vt:variant>
        <vt:i4>0</vt:i4>
      </vt:variant>
      <vt:variant>
        <vt:i4>5</vt:i4>
      </vt:variant>
      <vt:variant>
        <vt:lpwstr>http://search.ligazakon.ua/l_doc2.nsf/link1/T355100.html</vt:lpwstr>
      </vt:variant>
      <vt:variant>
        <vt:lpwstr/>
      </vt:variant>
      <vt:variant>
        <vt:i4>393249</vt:i4>
      </vt:variant>
      <vt:variant>
        <vt:i4>84</vt:i4>
      </vt:variant>
      <vt:variant>
        <vt:i4>0</vt:i4>
      </vt:variant>
      <vt:variant>
        <vt:i4>5</vt:i4>
      </vt:variant>
      <vt:variant>
        <vt:lpwstr>http://search.ligazakon.ua/l_doc2.nsf/link1/T079600.html</vt:lpwstr>
      </vt:variant>
      <vt:variant>
        <vt:lpwstr/>
      </vt:variant>
      <vt:variant>
        <vt:i4>589860</vt:i4>
      </vt:variant>
      <vt:variant>
        <vt:i4>81</vt:i4>
      </vt:variant>
      <vt:variant>
        <vt:i4>0</vt:i4>
      </vt:variant>
      <vt:variant>
        <vt:i4>5</vt:i4>
      </vt:variant>
      <vt:variant>
        <vt:lpwstr>http://search.ligazakon.ua/l_doc2.nsf/link1/T355100.html</vt:lpwstr>
      </vt:variant>
      <vt:variant>
        <vt:lpwstr/>
      </vt:variant>
      <vt:variant>
        <vt:i4>5177441</vt:i4>
      </vt:variant>
      <vt:variant>
        <vt:i4>78</vt:i4>
      </vt:variant>
      <vt:variant>
        <vt:i4>0</vt:i4>
      </vt:variant>
      <vt:variant>
        <vt:i4>5</vt:i4>
      </vt:variant>
      <vt:variant>
        <vt:lpwstr>http://search.ligazakon.ua/l_doc2.nsf/link1/KP160207.html</vt:lpwstr>
      </vt:variant>
      <vt:variant>
        <vt:lpwstr/>
      </vt:variant>
      <vt:variant>
        <vt:i4>5046372</vt:i4>
      </vt:variant>
      <vt:variant>
        <vt:i4>75</vt:i4>
      </vt:variant>
      <vt:variant>
        <vt:i4>0</vt:i4>
      </vt:variant>
      <vt:variant>
        <vt:i4>5</vt:i4>
      </vt:variant>
      <vt:variant>
        <vt:lpwstr>http://search.ligazakon.ua/l_doc2.nsf/link1/KP150652.html</vt:lpwstr>
      </vt:variant>
      <vt:variant>
        <vt:lpwstr/>
      </vt:variant>
      <vt:variant>
        <vt:i4>5767213</vt:i4>
      </vt:variant>
      <vt:variant>
        <vt:i4>72</vt:i4>
      </vt:variant>
      <vt:variant>
        <vt:i4>0</vt:i4>
      </vt:variant>
      <vt:variant>
        <vt:i4>5</vt:i4>
      </vt:variant>
      <vt:variant>
        <vt:lpwstr>http://search.ligazakon.ua/l_doc2.nsf/link1/RE27059.html</vt:lpwstr>
      </vt:variant>
      <vt:variant>
        <vt:lpwstr/>
      </vt:variant>
      <vt:variant>
        <vt:i4>131108</vt:i4>
      </vt:variant>
      <vt:variant>
        <vt:i4>69</vt:i4>
      </vt:variant>
      <vt:variant>
        <vt:i4>0</vt:i4>
      </vt:variant>
      <vt:variant>
        <vt:i4>5</vt:i4>
      </vt:variant>
      <vt:variant>
        <vt:lpwstr>http://search.ligazakon.ua/l_doc2.nsf/link1/T125492.html</vt:lpwstr>
      </vt:variant>
      <vt:variant>
        <vt:lpwstr/>
      </vt:variant>
      <vt:variant>
        <vt:i4>5242915</vt:i4>
      </vt:variant>
      <vt:variant>
        <vt:i4>66</vt:i4>
      </vt:variant>
      <vt:variant>
        <vt:i4>0</vt:i4>
      </vt:variant>
      <vt:variant>
        <vt:i4>5</vt:i4>
      </vt:variant>
      <vt:variant>
        <vt:lpwstr>http://search.ligazakon.ua/l_doc2.nsf/link1/RE29037.html</vt:lpwstr>
      </vt:variant>
      <vt:variant>
        <vt:lpwstr/>
      </vt:variant>
      <vt:variant>
        <vt:i4>5242920</vt:i4>
      </vt:variant>
      <vt:variant>
        <vt:i4>63</vt:i4>
      </vt:variant>
      <vt:variant>
        <vt:i4>0</vt:i4>
      </vt:variant>
      <vt:variant>
        <vt:i4>5</vt:i4>
      </vt:variant>
      <vt:variant>
        <vt:lpwstr>http://search.ligazakon.ua/l_doc2.nsf/link1/RE28925.html</vt:lpwstr>
      </vt:variant>
      <vt:variant>
        <vt:lpwstr/>
      </vt:variant>
      <vt:variant>
        <vt:i4>131108</vt:i4>
      </vt:variant>
      <vt:variant>
        <vt:i4>60</vt:i4>
      </vt:variant>
      <vt:variant>
        <vt:i4>0</vt:i4>
      </vt:variant>
      <vt:variant>
        <vt:i4>5</vt:i4>
      </vt:variant>
      <vt:variant>
        <vt:lpwstr>http://search.ligazakon.ua/l_doc2.nsf/link1/T125492.html</vt:lpwstr>
      </vt:variant>
      <vt:variant>
        <vt:lpwstr/>
      </vt:variant>
      <vt:variant>
        <vt:i4>983077</vt:i4>
      </vt:variant>
      <vt:variant>
        <vt:i4>57</vt:i4>
      </vt:variant>
      <vt:variant>
        <vt:i4>0</vt:i4>
      </vt:variant>
      <vt:variant>
        <vt:i4>5</vt:i4>
      </vt:variant>
      <vt:variant>
        <vt:lpwstr>http://search.ligazakon.ua/l_doc2.nsf/link1/T141706.html</vt:lpwstr>
      </vt:variant>
      <vt:variant>
        <vt:lpwstr/>
      </vt:variant>
      <vt:variant>
        <vt:i4>4259942</vt:i4>
      </vt:variant>
      <vt:variant>
        <vt:i4>54</vt:i4>
      </vt:variant>
      <vt:variant>
        <vt:i4>0</vt:i4>
      </vt:variant>
      <vt:variant>
        <vt:i4>5</vt:i4>
      </vt:variant>
      <vt:variant>
        <vt:lpwstr>http://search.ligazakon.ua/l_doc2.nsf/link1/KP180673.html</vt:lpwstr>
      </vt:variant>
      <vt:variant>
        <vt:lpwstr/>
      </vt:variant>
      <vt:variant>
        <vt:i4>5242915</vt:i4>
      </vt:variant>
      <vt:variant>
        <vt:i4>51</vt:i4>
      </vt:variant>
      <vt:variant>
        <vt:i4>0</vt:i4>
      </vt:variant>
      <vt:variant>
        <vt:i4>5</vt:i4>
      </vt:variant>
      <vt:variant>
        <vt:lpwstr>http://search.ligazakon.ua/l_doc2.nsf/link1/RE29037.html</vt:lpwstr>
      </vt:variant>
      <vt:variant>
        <vt:lpwstr/>
      </vt:variant>
      <vt:variant>
        <vt:i4>5242920</vt:i4>
      </vt:variant>
      <vt:variant>
        <vt:i4>48</vt:i4>
      </vt:variant>
      <vt:variant>
        <vt:i4>0</vt:i4>
      </vt:variant>
      <vt:variant>
        <vt:i4>5</vt:i4>
      </vt:variant>
      <vt:variant>
        <vt:lpwstr>http://search.ligazakon.ua/l_doc2.nsf/link1/RE28925.html</vt:lpwstr>
      </vt:variant>
      <vt:variant>
        <vt:lpwstr/>
      </vt:variant>
      <vt:variant>
        <vt:i4>5046375</vt:i4>
      </vt:variant>
      <vt:variant>
        <vt:i4>45</vt:i4>
      </vt:variant>
      <vt:variant>
        <vt:i4>0</vt:i4>
      </vt:variant>
      <vt:variant>
        <vt:i4>5</vt:i4>
      </vt:variant>
      <vt:variant>
        <vt:lpwstr>http://search.ligazakon.ua/l_doc2.nsf/link1/KP150266.html</vt:lpwstr>
      </vt:variant>
      <vt:variant>
        <vt:lpwstr/>
      </vt:variant>
      <vt:variant>
        <vt:i4>524323</vt:i4>
      </vt:variant>
      <vt:variant>
        <vt:i4>42</vt:i4>
      </vt:variant>
      <vt:variant>
        <vt:i4>0</vt:i4>
      </vt:variant>
      <vt:variant>
        <vt:i4>5</vt:i4>
      </vt:variant>
      <vt:variant>
        <vt:lpwstr>http://search.ligazakon.ua/l_doc2.nsf/link1/T172145.html</vt:lpwstr>
      </vt:variant>
      <vt:variant>
        <vt:lpwstr/>
      </vt:variant>
      <vt:variant>
        <vt:i4>524331</vt:i4>
      </vt:variant>
      <vt:variant>
        <vt:i4>39</vt:i4>
      </vt:variant>
      <vt:variant>
        <vt:i4>0</vt:i4>
      </vt:variant>
      <vt:variant>
        <vt:i4>5</vt:i4>
      </vt:variant>
      <vt:variant>
        <vt:lpwstr>http://search.ligazakon.ua/l_doc2.nsf/link1/T192745.html</vt:lpwstr>
      </vt:variant>
      <vt:variant>
        <vt:lpwstr/>
      </vt:variant>
      <vt:variant>
        <vt:i4>393251</vt:i4>
      </vt:variant>
      <vt:variant>
        <vt:i4>36</vt:i4>
      </vt:variant>
      <vt:variant>
        <vt:i4>0</vt:i4>
      </vt:variant>
      <vt:variant>
        <vt:i4>5</vt:i4>
      </vt:variant>
      <vt:variant>
        <vt:lpwstr>http://search.ligazakon.ua/l_doc2.nsf/link1/T041582.html</vt:lpwstr>
      </vt:variant>
      <vt:variant>
        <vt:lpwstr/>
      </vt:variant>
      <vt:variant>
        <vt:i4>852005</vt:i4>
      </vt:variant>
      <vt:variant>
        <vt:i4>33</vt:i4>
      </vt:variant>
      <vt:variant>
        <vt:i4>0</vt:i4>
      </vt:variant>
      <vt:variant>
        <vt:i4>5</vt:i4>
      </vt:variant>
      <vt:variant>
        <vt:lpwstr>http://search.ligazakon.ua/l_doc2.nsf/link1/T125067.html</vt:lpwstr>
      </vt:variant>
      <vt:variant>
        <vt:lpwstr/>
      </vt:variant>
      <vt:variant>
        <vt:i4>6094882</vt:i4>
      </vt:variant>
      <vt:variant>
        <vt:i4>30</vt:i4>
      </vt:variant>
      <vt:variant>
        <vt:i4>0</vt:i4>
      </vt:variant>
      <vt:variant>
        <vt:i4>5</vt:i4>
      </vt:variant>
      <vt:variant>
        <vt:lpwstr>http://search.ligazakon.ua/l_doc2.nsf/link1/RE31265.html</vt:lpwstr>
      </vt:variant>
      <vt:variant>
        <vt:lpwstr/>
      </vt:variant>
      <vt:variant>
        <vt:i4>5505061</vt:i4>
      </vt:variant>
      <vt:variant>
        <vt:i4>27</vt:i4>
      </vt:variant>
      <vt:variant>
        <vt:i4>0</vt:i4>
      </vt:variant>
      <vt:variant>
        <vt:i4>5</vt:i4>
      </vt:variant>
      <vt:variant>
        <vt:lpwstr>http://search.ligazakon.ua/l_doc2.nsf/link1/RE27796.html</vt:lpwstr>
      </vt:variant>
      <vt:variant>
        <vt:lpwstr/>
      </vt:variant>
      <vt:variant>
        <vt:i4>4653152</vt:i4>
      </vt:variant>
      <vt:variant>
        <vt:i4>24</vt:i4>
      </vt:variant>
      <vt:variant>
        <vt:i4>0</vt:i4>
      </vt:variant>
      <vt:variant>
        <vt:i4>5</vt:i4>
      </vt:variant>
      <vt:variant>
        <vt:lpwstr>http://search.ligazakon.ua/l_doc2.nsf/link1/KP180417.html</vt:lpwstr>
      </vt:variant>
      <vt:variant>
        <vt:lpwstr/>
      </vt:variant>
      <vt:variant>
        <vt:i4>4653152</vt:i4>
      </vt:variant>
      <vt:variant>
        <vt:i4>21</vt:i4>
      </vt:variant>
      <vt:variant>
        <vt:i4>0</vt:i4>
      </vt:variant>
      <vt:variant>
        <vt:i4>5</vt:i4>
      </vt:variant>
      <vt:variant>
        <vt:lpwstr>http://search.ligazakon.ua/l_doc2.nsf/link1/KP180417.html</vt:lpwstr>
      </vt:variant>
      <vt:variant>
        <vt:lpwstr/>
      </vt:variant>
      <vt:variant>
        <vt:i4>524331</vt:i4>
      </vt:variant>
      <vt:variant>
        <vt:i4>18</vt:i4>
      </vt:variant>
      <vt:variant>
        <vt:i4>0</vt:i4>
      </vt:variant>
      <vt:variant>
        <vt:i4>5</vt:i4>
      </vt:variant>
      <vt:variant>
        <vt:lpwstr>http://search.ligazakon.ua/l_doc2.nsf/link1/T192745.html</vt:lpwstr>
      </vt:variant>
      <vt:variant>
        <vt:lpwstr/>
      </vt:variant>
      <vt:variant>
        <vt:i4>5242915</vt:i4>
      </vt:variant>
      <vt:variant>
        <vt:i4>15</vt:i4>
      </vt:variant>
      <vt:variant>
        <vt:i4>0</vt:i4>
      </vt:variant>
      <vt:variant>
        <vt:i4>5</vt:i4>
      </vt:variant>
      <vt:variant>
        <vt:lpwstr>http://search.ligazakon.ua/l_doc2.nsf/link1/RE29037.html</vt:lpwstr>
      </vt:variant>
      <vt:variant>
        <vt:lpwstr/>
      </vt:variant>
      <vt:variant>
        <vt:i4>5242920</vt:i4>
      </vt:variant>
      <vt:variant>
        <vt:i4>12</vt:i4>
      </vt:variant>
      <vt:variant>
        <vt:i4>0</vt:i4>
      </vt:variant>
      <vt:variant>
        <vt:i4>5</vt:i4>
      </vt:variant>
      <vt:variant>
        <vt:lpwstr>http://search.ligazakon.ua/l_doc2.nsf/link1/RE28925.html</vt:lpwstr>
      </vt:variant>
      <vt:variant>
        <vt:lpwstr/>
      </vt:variant>
      <vt:variant>
        <vt:i4>5505067</vt:i4>
      </vt:variant>
      <vt:variant>
        <vt:i4>9</vt:i4>
      </vt:variant>
      <vt:variant>
        <vt:i4>0</vt:i4>
      </vt:variant>
      <vt:variant>
        <vt:i4>5</vt:i4>
      </vt:variant>
      <vt:variant>
        <vt:lpwstr>http://search.ligazakon.ua/l_doc2.nsf/link1/RE27798.html</vt:lpwstr>
      </vt:variant>
      <vt:variant>
        <vt:lpwstr/>
      </vt:variant>
      <vt:variant>
        <vt:i4>524331</vt:i4>
      </vt:variant>
      <vt:variant>
        <vt:i4>6</vt:i4>
      </vt:variant>
      <vt:variant>
        <vt:i4>0</vt:i4>
      </vt:variant>
      <vt:variant>
        <vt:i4>5</vt:i4>
      </vt:variant>
      <vt:variant>
        <vt:lpwstr>http://search.ligazakon.ua/l_doc2.nsf/link1/T192745.html</vt:lpwstr>
      </vt:variant>
      <vt:variant>
        <vt:lpwstr/>
      </vt:variant>
      <vt:variant>
        <vt:i4>524331</vt:i4>
      </vt:variant>
      <vt:variant>
        <vt:i4>3</vt:i4>
      </vt:variant>
      <vt:variant>
        <vt:i4>0</vt:i4>
      </vt:variant>
      <vt:variant>
        <vt:i4>5</vt:i4>
      </vt:variant>
      <vt:variant>
        <vt:lpwstr>http://search.ligazakon.ua/l_doc2.nsf/link1/T192745.html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заочное</dc:creator>
  <cp:keywords/>
  <dc:description/>
  <cp:lastModifiedBy>Пользователь Windows</cp:lastModifiedBy>
  <cp:revision>2</cp:revision>
  <cp:lastPrinted>2020-12-22T09:29:00Z</cp:lastPrinted>
  <dcterms:created xsi:type="dcterms:W3CDTF">2021-08-05T06:11:00Z</dcterms:created>
  <dcterms:modified xsi:type="dcterms:W3CDTF">2021-08-05T06:11:00Z</dcterms:modified>
</cp:coreProperties>
</file>